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63E9" w14:textId="77777777" w:rsidR="00B71BBA" w:rsidRDefault="00603E0C" w:rsidP="00A73E81">
      <w:pPr>
        <w:pStyle w:val="Title"/>
        <w:pBdr>
          <w:bottom w:val="single" w:sz="12" w:space="1" w:color="800000"/>
        </w:pBdr>
      </w:pPr>
      <w:r>
        <w:rPr>
          <w:noProof/>
          <w:lang w:eastAsia="en-CA"/>
        </w:rPr>
        <w:drawing>
          <wp:anchor distT="0" distB="0" distL="114300" distR="114300" simplePos="0" relativeHeight="251658240" behindDoc="1" locked="0" layoutInCell="1" allowOverlap="1" wp14:anchorId="31A29973" wp14:editId="6958BCF7">
            <wp:simplePos x="0" y="0"/>
            <wp:positionH relativeFrom="margin">
              <wp:align>left</wp:align>
            </wp:positionH>
            <wp:positionV relativeFrom="paragraph">
              <wp:posOffset>0</wp:posOffset>
            </wp:positionV>
            <wp:extent cx="895350" cy="939165"/>
            <wp:effectExtent l="0" t="0" r="0" b="0"/>
            <wp:wrapTight wrapText="bothSides">
              <wp:wrapPolygon edited="0">
                <wp:start x="0" y="0"/>
                <wp:lineTo x="0" y="21030"/>
                <wp:lineTo x="21140" y="21030"/>
                <wp:lineTo x="2114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353" t="12154" r="82501" b="7936"/>
                    <a:stretch>
                      <a:fillRect/>
                    </a:stretch>
                  </pic:blipFill>
                  <pic:spPr bwMode="auto">
                    <a:xfrm>
                      <a:off x="0" y="0"/>
                      <a:ext cx="894330" cy="9387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1BBA">
        <w:t>G</w:t>
      </w:r>
      <w:bookmarkStart w:id="0" w:name="_GoBack"/>
      <w:bookmarkEnd w:id="0"/>
      <w:r w:rsidR="00B71BBA">
        <w:t xml:space="preserve">rade </w:t>
      </w:r>
      <w:r w:rsidR="000B60A9">
        <w:t>12 College</w:t>
      </w:r>
      <w:r w:rsidR="00F11EDD">
        <w:t xml:space="preserve"> </w:t>
      </w:r>
      <w:r w:rsidR="005D7F08">
        <w:t>English</w:t>
      </w:r>
    </w:p>
    <w:p w14:paraId="275978D8" w14:textId="40C2F84D" w:rsidR="00445D24" w:rsidRPr="00445D24" w:rsidRDefault="00445D24" w:rsidP="00445D24">
      <w:pPr>
        <w:rPr>
          <w:b/>
        </w:rPr>
      </w:pPr>
      <w:r w:rsidRPr="00445D24">
        <w:rPr>
          <w:b/>
        </w:rPr>
        <w:t xml:space="preserve">Mr. </w:t>
      </w:r>
      <w:proofErr w:type="spellStart"/>
      <w:r w:rsidRPr="00445D24">
        <w:rPr>
          <w:b/>
        </w:rPr>
        <w:t>Bignell</w:t>
      </w:r>
      <w:proofErr w:type="spellEnd"/>
      <w:r w:rsidRPr="00445D24">
        <w:rPr>
          <w:b/>
        </w:rPr>
        <w:t xml:space="preserve"> – </w:t>
      </w:r>
      <w:hyperlink r:id="rId10" w:history="1">
        <w:r w:rsidRPr="00445D24">
          <w:rPr>
            <w:rStyle w:val="Hyperlink"/>
            <w:b/>
          </w:rPr>
          <w:t>www.mrbignell.weebly.com</w:t>
        </w:r>
      </w:hyperlink>
      <w:r w:rsidRPr="00445D24">
        <w:rPr>
          <w:b/>
        </w:rPr>
        <w:t xml:space="preserve"> – Chris_Bignell@wrdsb.on.ca</w:t>
      </w:r>
    </w:p>
    <w:p w14:paraId="4983D70F" w14:textId="77777777" w:rsidR="00B71BBA" w:rsidRDefault="00B71BBA" w:rsidP="00F11EDD">
      <w:pPr>
        <w:pStyle w:val="Heading1"/>
        <w:spacing w:after="0"/>
      </w:pPr>
      <w:r>
        <w:t>Course Description</w:t>
      </w:r>
      <w:r w:rsidR="00D904F0">
        <w:t>:</w:t>
      </w:r>
    </w:p>
    <w:p w14:paraId="61DE2620" w14:textId="77777777" w:rsidR="00DF0B0E" w:rsidRPr="00F11EDD" w:rsidRDefault="00AD058F" w:rsidP="00AD058F">
      <w:pPr>
        <w:autoSpaceDE w:val="0"/>
        <w:autoSpaceDN w:val="0"/>
        <w:adjustRightInd w:val="0"/>
        <w:spacing w:after="0" w:line="240" w:lineRule="auto"/>
        <w:rPr>
          <w:rFonts w:cstheme="minorHAnsi"/>
        </w:rPr>
        <w:sectPr w:rsidR="00DF0B0E" w:rsidRPr="00F11EDD" w:rsidSect="00A5488E">
          <w:headerReference w:type="default" r:id="rId11"/>
          <w:footerReference w:type="default" r:id="rId12"/>
          <w:pgSz w:w="12240" w:h="15840"/>
          <w:pgMar w:top="360" w:right="1267" w:bottom="1080" w:left="1267" w:header="360" w:footer="0" w:gutter="0"/>
          <w:cols w:space="708"/>
          <w:docGrid w:linePitch="360"/>
        </w:sectPr>
      </w:pPr>
      <w:r w:rsidRPr="00F11EDD">
        <w:rPr>
          <w:rFonts w:cstheme="minorHAnsi"/>
          <w:color w:val="231F20"/>
          <w:sz w:val="20"/>
          <w:szCs w:val="20"/>
        </w:rPr>
        <w:t>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w:t>
      </w:r>
      <w:r w:rsidR="00F11EDD">
        <w:rPr>
          <w:rFonts w:cstheme="minorHAnsi"/>
          <w:color w:val="231F20"/>
          <w:sz w:val="20"/>
          <w:szCs w:val="20"/>
        </w:rPr>
        <w:t xml:space="preserve"> </w:t>
      </w:r>
      <w:r w:rsidRPr="00F11EDD">
        <w:rPr>
          <w:rFonts w:cstheme="minorHAnsi"/>
          <w:color w:val="231F20"/>
          <w:sz w:val="20"/>
          <w:szCs w:val="20"/>
        </w:rPr>
        <w:t>interpret texts and communicate clearly and effectively. This course is intended to prepare students for the compulsory Grade 11 college or workplace preparation course.</w:t>
      </w:r>
    </w:p>
    <w:p w14:paraId="22698500" w14:textId="77777777" w:rsidR="00B71BBA" w:rsidRDefault="00B71BBA" w:rsidP="00B71BBA">
      <w:pPr>
        <w:pStyle w:val="Heading1"/>
      </w:pPr>
      <w:r>
        <w:lastRenderedPageBreak/>
        <w:t>Identifying Information</w:t>
      </w:r>
      <w:r w:rsidR="00D904F0">
        <w:t>:</w:t>
      </w:r>
      <w:r w:rsidR="009E4801">
        <w:tab/>
      </w:r>
      <w:r w:rsidR="009E4801">
        <w:tab/>
      </w:r>
      <w:r w:rsidR="009E4801">
        <w:tab/>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746"/>
        <w:gridCol w:w="236"/>
        <w:gridCol w:w="3123"/>
        <w:gridCol w:w="1701"/>
      </w:tblGrid>
      <w:tr w:rsidR="000B60A9" w:rsidRPr="00AD058F" w14:paraId="644776CA" w14:textId="77777777" w:rsidTr="00463D9B">
        <w:tc>
          <w:tcPr>
            <w:tcW w:w="2088" w:type="dxa"/>
          </w:tcPr>
          <w:p w14:paraId="45200FA4" w14:textId="77777777" w:rsidR="000B60A9" w:rsidRPr="00AD058F" w:rsidRDefault="000B60A9" w:rsidP="00EE57E2">
            <w:pPr>
              <w:jc w:val="right"/>
              <w:rPr>
                <w:b/>
                <w:color w:val="000000" w:themeColor="text1"/>
              </w:rPr>
            </w:pPr>
            <w:r w:rsidRPr="00AD058F">
              <w:rPr>
                <w:b/>
                <w:color w:val="000000" w:themeColor="text1"/>
              </w:rPr>
              <w:t>Course Title:</w:t>
            </w:r>
          </w:p>
        </w:tc>
        <w:tc>
          <w:tcPr>
            <w:tcW w:w="2746" w:type="dxa"/>
          </w:tcPr>
          <w:p w14:paraId="7A04DAB8" w14:textId="77777777" w:rsidR="000B60A9" w:rsidRPr="00AD058F" w:rsidRDefault="000B60A9" w:rsidP="000B60A9">
            <w:pPr>
              <w:rPr>
                <w:color w:val="000000" w:themeColor="text1"/>
              </w:rPr>
            </w:pPr>
            <w:r w:rsidRPr="00AD058F">
              <w:rPr>
                <w:color w:val="000000" w:themeColor="text1"/>
              </w:rPr>
              <w:t xml:space="preserve">Grade </w:t>
            </w:r>
            <w:r>
              <w:rPr>
                <w:color w:val="000000" w:themeColor="text1"/>
              </w:rPr>
              <w:t xml:space="preserve">12 College </w:t>
            </w:r>
            <w:r w:rsidRPr="00AD058F">
              <w:rPr>
                <w:color w:val="000000" w:themeColor="text1"/>
              </w:rPr>
              <w:t>English</w:t>
            </w:r>
          </w:p>
        </w:tc>
        <w:tc>
          <w:tcPr>
            <w:tcW w:w="236" w:type="dxa"/>
          </w:tcPr>
          <w:p w14:paraId="2747C460" w14:textId="77777777" w:rsidR="000B60A9" w:rsidRPr="00AD058F" w:rsidRDefault="000B60A9" w:rsidP="00B71BBA">
            <w:pPr>
              <w:rPr>
                <w:color w:val="000000" w:themeColor="text1"/>
              </w:rPr>
            </w:pPr>
          </w:p>
        </w:tc>
        <w:tc>
          <w:tcPr>
            <w:tcW w:w="3123" w:type="dxa"/>
            <w:vMerge w:val="restart"/>
          </w:tcPr>
          <w:p w14:paraId="07455059" w14:textId="77777777" w:rsidR="000B60A9" w:rsidRPr="000B60A9" w:rsidRDefault="000B60A9" w:rsidP="000B60A9">
            <w:pPr>
              <w:jc w:val="right"/>
              <w:rPr>
                <w:i/>
                <w:color w:val="000000" w:themeColor="text1"/>
              </w:rPr>
            </w:pPr>
            <w:r w:rsidRPr="000B60A9">
              <w:rPr>
                <w:i/>
                <w:color w:val="000000" w:themeColor="text1"/>
              </w:rPr>
              <w:t>The Curious Incident of the Dog in the Nighttime</w:t>
            </w:r>
          </w:p>
        </w:tc>
        <w:tc>
          <w:tcPr>
            <w:tcW w:w="1701" w:type="dxa"/>
            <w:vMerge w:val="restart"/>
          </w:tcPr>
          <w:p w14:paraId="09282606" w14:textId="77777777" w:rsidR="000B60A9" w:rsidRPr="00AD058F" w:rsidRDefault="000B60A9" w:rsidP="000B60A9">
            <w:pPr>
              <w:framePr w:hSpace="180" w:wrap="around" w:vAnchor="text" w:hAnchor="page" w:x="1926" w:y="135"/>
              <w:spacing w:line="360" w:lineRule="auto"/>
              <w:rPr>
                <w:color w:val="000000" w:themeColor="text1"/>
              </w:rPr>
            </w:pPr>
            <w:r w:rsidRPr="00AD058F">
              <w:rPr>
                <w:color w:val="000000" w:themeColor="text1"/>
                <w:sz w:val="20"/>
                <w:szCs w:val="20"/>
              </w:rPr>
              <w:t>$</w:t>
            </w:r>
            <w:r>
              <w:rPr>
                <w:color w:val="000000" w:themeColor="text1"/>
                <w:sz w:val="20"/>
                <w:szCs w:val="20"/>
              </w:rPr>
              <w:t>16</w:t>
            </w:r>
          </w:p>
        </w:tc>
      </w:tr>
      <w:tr w:rsidR="000B60A9" w:rsidRPr="00AD058F" w14:paraId="303BFA95" w14:textId="77777777" w:rsidTr="00463D9B">
        <w:tc>
          <w:tcPr>
            <w:tcW w:w="2088" w:type="dxa"/>
          </w:tcPr>
          <w:p w14:paraId="24A50F95" w14:textId="77777777" w:rsidR="000B60A9" w:rsidRPr="00AD058F" w:rsidRDefault="000B60A9" w:rsidP="00EE57E2">
            <w:pPr>
              <w:jc w:val="right"/>
              <w:rPr>
                <w:b/>
                <w:color w:val="000000" w:themeColor="text1"/>
              </w:rPr>
            </w:pPr>
            <w:r w:rsidRPr="00AD058F">
              <w:rPr>
                <w:b/>
                <w:color w:val="000000" w:themeColor="text1"/>
              </w:rPr>
              <w:t>Grade:</w:t>
            </w:r>
          </w:p>
        </w:tc>
        <w:tc>
          <w:tcPr>
            <w:tcW w:w="2746" w:type="dxa"/>
          </w:tcPr>
          <w:p w14:paraId="6B5385B1" w14:textId="77777777" w:rsidR="000B60A9" w:rsidRPr="00AD058F" w:rsidRDefault="000B60A9" w:rsidP="00B71BBA">
            <w:pPr>
              <w:rPr>
                <w:color w:val="000000" w:themeColor="text1"/>
              </w:rPr>
            </w:pPr>
            <w:r>
              <w:rPr>
                <w:color w:val="000000" w:themeColor="text1"/>
              </w:rPr>
              <w:t>12</w:t>
            </w:r>
          </w:p>
        </w:tc>
        <w:tc>
          <w:tcPr>
            <w:tcW w:w="236" w:type="dxa"/>
          </w:tcPr>
          <w:p w14:paraId="7E3CCAD6" w14:textId="77777777" w:rsidR="000B60A9" w:rsidRPr="00AD058F" w:rsidRDefault="000B60A9" w:rsidP="00B71BBA">
            <w:pPr>
              <w:rPr>
                <w:color w:val="000000" w:themeColor="text1"/>
              </w:rPr>
            </w:pPr>
          </w:p>
        </w:tc>
        <w:tc>
          <w:tcPr>
            <w:tcW w:w="3123" w:type="dxa"/>
            <w:vMerge/>
          </w:tcPr>
          <w:p w14:paraId="7D3E778A" w14:textId="77777777" w:rsidR="000B60A9" w:rsidRPr="000B60A9" w:rsidRDefault="000B60A9" w:rsidP="00B71BBA">
            <w:pPr>
              <w:rPr>
                <w:i/>
                <w:color w:val="000000" w:themeColor="text1"/>
              </w:rPr>
            </w:pPr>
          </w:p>
        </w:tc>
        <w:tc>
          <w:tcPr>
            <w:tcW w:w="1701" w:type="dxa"/>
            <w:vMerge/>
          </w:tcPr>
          <w:p w14:paraId="607CD674" w14:textId="77777777" w:rsidR="000B60A9" w:rsidRPr="00AD058F" w:rsidRDefault="000B60A9" w:rsidP="00B71BBA">
            <w:pPr>
              <w:rPr>
                <w:color w:val="000000" w:themeColor="text1"/>
              </w:rPr>
            </w:pPr>
          </w:p>
        </w:tc>
      </w:tr>
      <w:tr w:rsidR="000B60A9" w:rsidRPr="00AD058F" w14:paraId="58D762FE" w14:textId="77777777" w:rsidTr="00463D9B">
        <w:trPr>
          <w:trHeight w:val="108"/>
        </w:trPr>
        <w:tc>
          <w:tcPr>
            <w:tcW w:w="2088" w:type="dxa"/>
          </w:tcPr>
          <w:p w14:paraId="0808E2D3" w14:textId="77777777" w:rsidR="000B60A9" w:rsidRPr="00AD058F" w:rsidRDefault="000B60A9" w:rsidP="00EE57E2">
            <w:pPr>
              <w:jc w:val="right"/>
              <w:rPr>
                <w:b/>
                <w:color w:val="000000" w:themeColor="text1"/>
              </w:rPr>
            </w:pPr>
            <w:r w:rsidRPr="00AD058F">
              <w:rPr>
                <w:b/>
                <w:color w:val="000000" w:themeColor="text1"/>
              </w:rPr>
              <w:t>Course Type:</w:t>
            </w:r>
          </w:p>
        </w:tc>
        <w:tc>
          <w:tcPr>
            <w:tcW w:w="2746" w:type="dxa"/>
          </w:tcPr>
          <w:p w14:paraId="57F27112" w14:textId="77777777" w:rsidR="000B60A9" w:rsidRPr="00AD058F" w:rsidRDefault="000B60A9" w:rsidP="00B71BBA">
            <w:pPr>
              <w:rPr>
                <w:color w:val="000000" w:themeColor="text1"/>
              </w:rPr>
            </w:pPr>
            <w:r>
              <w:rPr>
                <w:color w:val="000000" w:themeColor="text1"/>
              </w:rPr>
              <w:t>College</w:t>
            </w:r>
          </w:p>
        </w:tc>
        <w:tc>
          <w:tcPr>
            <w:tcW w:w="236" w:type="dxa"/>
          </w:tcPr>
          <w:p w14:paraId="0AE8B721" w14:textId="77777777" w:rsidR="000B60A9" w:rsidRPr="00AD058F" w:rsidRDefault="000B60A9" w:rsidP="00B71BBA">
            <w:pPr>
              <w:rPr>
                <w:color w:val="000000" w:themeColor="text1"/>
              </w:rPr>
            </w:pPr>
          </w:p>
        </w:tc>
        <w:tc>
          <w:tcPr>
            <w:tcW w:w="3123" w:type="dxa"/>
            <w:vMerge/>
          </w:tcPr>
          <w:p w14:paraId="1CC61C92" w14:textId="77777777" w:rsidR="000B60A9" w:rsidRPr="000B60A9" w:rsidRDefault="000B60A9" w:rsidP="00B71BBA">
            <w:pPr>
              <w:rPr>
                <w:i/>
                <w:color w:val="000000" w:themeColor="text1"/>
              </w:rPr>
            </w:pPr>
          </w:p>
        </w:tc>
        <w:tc>
          <w:tcPr>
            <w:tcW w:w="1701" w:type="dxa"/>
            <w:vMerge/>
          </w:tcPr>
          <w:p w14:paraId="7742CDA0" w14:textId="77777777" w:rsidR="000B60A9" w:rsidRPr="00AD058F" w:rsidRDefault="000B60A9" w:rsidP="00B71BBA">
            <w:pPr>
              <w:rPr>
                <w:color w:val="000000" w:themeColor="text1"/>
              </w:rPr>
            </w:pPr>
          </w:p>
        </w:tc>
      </w:tr>
      <w:tr w:rsidR="000B60A9" w:rsidRPr="00AD058F" w14:paraId="2836AD94" w14:textId="77777777" w:rsidTr="00463D9B">
        <w:tc>
          <w:tcPr>
            <w:tcW w:w="2088" w:type="dxa"/>
          </w:tcPr>
          <w:p w14:paraId="59FD8B74" w14:textId="77777777" w:rsidR="000B60A9" w:rsidRPr="00AD058F" w:rsidRDefault="000B60A9" w:rsidP="00EE57E2">
            <w:pPr>
              <w:jc w:val="right"/>
              <w:rPr>
                <w:b/>
                <w:color w:val="000000" w:themeColor="text1"/>
              </w:rPr>
            </w:pPr>
            <w:r w:rsidRPr="00AD058F">
              <w:rPr>
                <w:b/>
                <w:color w:val="000000" w:themeColor="text1"/>
              </w:rPr>
              <w:t>Course Hours:</w:t>
            </w:r>
          </w:p>
        </w:tc>
        <w:tc>
          <w:tcPr>
            <w:tcW w:w="2746" w:type="dxa"/>
          </w:tcPr>
          <w:p w14:paraId="6EDBD188" w14:textId="77777777" w:rsidR="000B60A9" w:rsidRPr="00AD058F" w:rsidRDefault="000B60A9" w:rsidP="00F053BD">
            <w:pPr>
              <w:rPr>
                <w:color w:val="000000" w:themeColor="text1"/>
              </w:rPr>
            </w:pPr>
            <w:r w:rsidRPr="00AD058F">
              <w:rPr>
                <w:color w:val="000000" w:themeColor="text1"/>
              </w:rPr>
              <w:t>110 Hours</w:t>
            </w:r>
          </w:p>
        </w:tc>
        <w:tc>
          <w:tcPr>
            <w:tcW w:w="236" w:type="dxa"/>
          </w:tcPr>
          <w:p w14:paraId="020239EF" w14:textId="77777777" w:rsidR="000B60A9" w:rsidRPr="00AD058F" w:rsidRDefault="000B60A9" w:rsidP="00F053BD">
            <w:pPr>
              <w:rPr>
                <w:color w:val="000000" w:themeColor="text1"/>
              </w:rPr>
            </w:pPr>
          </w:p>
        </w:tc>
        <w:tc>
          <w:tcPr>
            <w:tcW w:w="3123" w:type="dxa"/>
            <w:vMerge w:val="restart"/>
          </w:tcPr>
          <w:p w14:paraId="2A752C1D" w14:textId="77777777" w:rsidR="000B60A9" w:rsidRPr="000B60A9" w:rsidRDefault="000B60A9" w:rsidP="000B60A9">
            <w:pPr>
              <w:jc w:val="right"/>
              <w:rPr>
                <w:i/>
                <w:color w:val="000000" w:themeColor="text1"/>
              </w:rPr>
            </w:pPr>
            <w:r w:rsidRPr="000B60A9">
              <w:rPr>
                <w:i/>
                <w:color w:val="000000" w:themeColor="text1"/>
              </w:rPr>
              <w:t>The Knife of Never Letting Go</w:t>
            </w:r>
          </w:p>
        </w:tc>
        <w:tc>
          <w:tcPr>
            <w:tcW w:w="1701" w:type="dxa"/>
            <w:vMerge w:val="restart"/>
          </w:tcPr>
          <w:p w14:paraId="6C2A2768" w14:textId="77777777" w:rsidR="000B60A9" w:rsidRPr="00AD058F" w:rsidRDefault="000B60A9" w:rsidP="00B71BBA">
            <w:pPr>
              <w:rPr>
                <w:color w:val="000000" w:themeColor="text1"/>
              </w:rPr>
            </w:pPr>
            <w:r>
              <w:rPr>
                <w:color w:val="000000" w:themeColor="text1"/>
              </w:rPr>
              <w:t>$11</w:t>
            </w:r>
          </w:p>
        </w:tc>
      </w:tr>
      <w:tr w:rsidR="000B60A9" w:rsidRPr="00AD058F" w14:paraId="22E638DA" w14:textId="77777777" w:rsidTr="00463D9B">
        <w:tc>
          <w:tcPr>
            <w:tcW w:w="2088" w:type="dxa"/>
          </w:tcPr>
          <w:p w14:paraId="54ADD6B7" w14:textId="77777777" w:rsidR="000B60A9" w:rsidRPr="00AD058F" w:rsidRDefault="000B60A9" w:rsidP="00EE57E2">
            <w:pPr>
              <w:jc w:val="right"/>
              <w:rPr>
                <w:b/>
                <w:color w:val="000000" w:themeColor="text1"/>
              </w:rPr>
            </w:pPr>
            <w:r w:rsidRPr="00AD058F">
              <w:rPr>
                <w:b/>
                <w:color w:val="000000" w:themeColor="text1"/>
              </w:rPr>
              <w:t>Course Code:</w:t>
            </w:r>
          </w:p>
        </w:tc>
        <w:tc>
          <w:tcPr>
            <w:tcW w:w="2746" w:type="dxa"/>
          </w:tcPr>
          <w:p w14:paraId="2C12FD0E" w14:textId="77777777" w:rsidR="000B60A9" w:rsidRPr="00AD058F" w:rsidRDefault="000B60A9" w:rsidP="000B60A9">
            <w:pPr>
              <w:rPr>
                <w:color w:val="000000" w:themeColor="text1"/>
              </w:rPr>
            </w:pPr>
            <w:r w:rsidRPr="00AD058F">
              <w:rPr>
                <w:color w:val="000000" w:themeColor="text1"/>
              </w:rPr>
              <w:t xml:space="preserve">ENG </w:t>
            </w:r>
            <w:r>
              <w:rPr>
                <w:color w:val="000000" w:themeColor="text1"/>
              </w:rPr>
              <w:t>4CI</w:t>
            </w:r>
          </w:p>
        </w:tc>
        <w:tc>
          <w:tcPr>
            <w:tcW w:w="236" w:type="dxa"/>
          </w:tcPr>
          <w:p w14:paraId="6F82BC01" w14:textId="77777777" w:rsidR="000B60A9" w:rsidRPr="00AD058F" w:rsidRDefault="000B60A9" w:rsidP="00B71BBA">
            <w:pPr>
              <w:rPr>
                <w:color w:val="000000" w:themeColor="text1"/>
              </w:rPr>
            </w:pPr>
          </w:p>
        </w:tc>
        <w:tc>
          <w:tcPr>
            <w:tcW w:w="3123" w:type="dxa"/>
            <w:vMerge/>
          </w:tcPr>
          <w:p w14:paraId="05735BDE" w14:textId="77777777" w:rsidR="000B60A9" w:rsidRPr="00AD058F" w:rsidRDefault="000B60A9" w:rsidP="00B71BBA">
            <w:pPr>
              <w:rPr>
                <w:color w:val="000000" w:themeColor="text1"/>
              </w:rPr>
            </w:pPr>
          </w:p>
        </w:tc>
        <w:tc>
          <w:tcPr>
            <w:tcW w:w="1701" w:type="dxa"/>
            <w:vMerge/>
          </w:tcPr>
          <w:p w14:paraId="3597FD89" w14:textId="77777777" w:rsidR="000B60A9" w:rsidRPr="00AD058F" w:rsidRDefault="000B60A9" w:rsidP="00B71BBA">
            <w:pPr>
              <w:rPr>
                <w:color w:val="000000" w:themeColor="text1"/>
              </w:rPr>
            </w:pPr>
          </w:p>
        </w:tc>
      </w:tr>
      <w:tr w:rsidR="000B60A9" w:rsidRPr="00AD058F" w14:paraId="51C52CDF" w14:textId="77777777" w:rsidTr="00463D9B">
        <w:tc>
          <w:tcPr>
            <w:tcW w:w="2088" w:type="dxa"/>
          </w:tcPr>
          <w:p w14:paraId="751FD2FE" w14:textId="77777777" w:rsidR="000B60A9" w:rsidRPr="00AD058F" w:rsidRDefault="000B60A9" w:rsidP="00EE57E2">
            <w:pPr>
              <w:jc w:val="right"/>
              <w:rPr>
                <w:b/>
                <w:color w:val="000000" w:themeColor="text1"/>
              </w:rPr>
            </w:pPr>
            <w:r w:rsidRPr="00AD058F">
              <w:rPr>
                <w:b/>
                <w:color w:val="000000" w:themeColor="text1"/>
              </w:rPr>
              <w:t>Credit Value:</w:t>
            </w:r>
          </w:p>
        </w:tc>
        <w:tc>
          <w:tcPr>
            <w:tcW w:w="2746" w:type="dxa"/>
          </w:tcPr>
          <w:p w14:paraId="60EE4545" w14:textId="77777777" w:rsidR="000B60A9" w:rsidRPr="00AD058F" w:rsidRDefault="000B60A9" w:rsidP="00B71BBA">
            <w:pPr>
              <w:rPr>
                <w:color w:val="000000" w:themeColor="text1"/>
              </w:rPr>
            </w:pPr>
            <w:r w:rsidRPr="00AD058F">
              <w:rPr>
                <w:color w:val="000000" w:themeColor="text1"/>
              </w:rPr>
              <w:t>1</w:t>
            </w:r>
          </w:p>
        </w:tc>
        <w:tc>
          <w:tcPr>
            <w:tcW w:w="236" w:type="dxa"/>
          </w:tcPr>
          <w:p w14:paraId="2FE45098" w14:textId="77777777" w:rsidR="000B60A9" w:rsidRPr="00AD058F" w:rsidRDefault="000B60A9" w:rsidP="00B71BBA">
            <w:pPr>
              <w:rPr>
                <w:color w:val="000000" w:themeColor="text1"/>
              </w:rPr>
            </w:pPr>
          </w:p>
        </w:tc>
        <w:tc>
          <w:tcPr>
            <w:tcW w:w="3123" w:type="dxa"/>
            <w:vMerge/>
          </w:tcPr>
          <w:p w14:paraId="64F4999A" w14:textId="77777777" w:rsidR="000B60A9" w:rsidRPr="00AD058F" w:rsidRDefault="000B60A9" w:rsidP="00B71BBA">
            <w:pPr>
              <w:rPr>
                <w:color w:val="000000" w:themeColor="text1"/>
              </w:rPr>
            </w:pPr>
          </w:p>
        </w:tc>
        <w:tc>
          <w:tcPr>
            <w:tcW w:w="1701" w:type="dxa"/>
            <w:vMerge/>
          </w:tcPr>
          <w:p w14:paraId="16B5A69A" w14:textId="77777777" w:rsidR="000B60A9" w:rsidRPr="00AD058F" w:rsidRDefault="000B60A9" w:rsidP="00B71BBA">
            <w:pPr>
              <w:rPr>
                <w:color w:val="000000" w:themeColor="text1"/>
              </w:rPr>
            </w:pPr>
          </w:p>
        </w:tc>
      </w:tr>
      <w:tr w:rsidR="00AD058F" w:rsidRPr="00AD058F" w14:paraId="4CFEC793" w14:textId="77777777" w:rsidTr="00463D9B">
        <w:tc>
          <w:tcPr>
            <w:tcW w:w="2088" w:type="dxa"/>
          </w:tcPr>
          <w:p w14:paraId="1457596E" w14:textId="77777777" w:rsidR="001A7049" w:rsidRPr="00AD058F" w:rsidRDefault="001A7049" w:rsidP="00EE57E2">
            <w:pPr>
              <w:jc w:val="right"/>
              <w:rPr>
                <w:b/>
                <w:color w:val="000000" w:themeColor="text1"/>
              </w:rPr>
            </w:pPr>
            <w:r w:rsidRPr="00AD058F">
              <w:rPr>
                <w:b/>
                <w:color w:val="000000" w:themeColor="text1"/>
              </w:rPr>
              <w:t>Ministry Document:</w:t>
            </w:r>
          </w:p>
        </w:tc>
        <w:tc>
          <w:tcPr>
            <w:tcW w:w="2746" w:type="dxa"/>
          </w:tcPr>
          <w:p w14:paraId="760E9272" w14:textId="77777777" w:rsidR="001A7049" w:rsidRPr="00AD058F" w:rsidRDefault="00C05143" w:rsidP="000B60A9">
            <w:pPr>
              <w:rPr>
                <w:color w:val="000000" w:themeColor="text1"/>
              </w:rPr>
            </w:pPr>
            <w:r w:rsidRPr="00AD058F">
              <w:rPr>
                <w:color w:val="000000" w:themeColor="text1"/>
              </w:rPr>
              <w:t xml:space="preserve">The Ontario Curriculum, Grades </w:t>
            </w:r>
            <w:r w:rsidR="000B60A9">
              <w:rPr>
                <w:color w:val="000000" w:themeColor="text1"/>
              </w:rPr>
              <w:t>11</w:t>
            </w:r>
            <w:r w:rsidR="001A7049" w:rsidRPr="00AD058F">
              <w:rPr>
                <w:color w:val="000000" w:themeColor="text1"/>
              </w:rPr>
              <w:t xml:space="preserve"> and</w:t>
            </w:r>
            <w:r w:rsidRPr="00AD058F">
              <w:rPr>
                <w:color w:val="000000" w:themeColor="text1"/>
              </w:rPr>
              <w:t xml:space="preserve"> </w:t>
            </w:r>
            <w:r w:rsidR="00AD058F" w:rsidRPr="00AD058F">
              <w:rPr>
                <w:color w:val="000000" w:themeColor="text1"/>
              </w:rPr>
              <w:t>1</w:t>
            </w:r>
            <w:r w:rsidR="000B60A9">
              <w:rPr>
                <w:color w:val="000000" w:themeColor="text1"/>
              </w:rPr>
              <w:t>2</w:t>
            </w:r>
            <w:r w:rsidR="001A7049" w:rsidRPr="00AD058F">
              <w:rPr>
                <w:color w:val="000000" w:themeColor="text1"/>
              </w:rPr>
              <w:t>, Revised</w:t>
            </w:r>
          </w:p>
        </w:tc>
        <w:tc>
          <w:tcPr>
            <w:tcW w:w="236" w:type="dxa"/>
          </w:tcPr>
          <w:p w14:paraId="2815162D" w14:textId="77777777" w:rsidR="001A7049" w:rsidRPr="00AD058F" w:rsidRDefault="001A7049" w:rsidP="004F480E">
            <w:pPr>
              <w:rPr>
                <w:color w:val="000000" w:themeColor="text1"/>
              </w:rPr>
            </w:pPr>
          </w:p>
        </w:tc>
        <w:tc>
          <w:tcPr>
            <w:tcW w:w="4824" w:type="dxa"/>
            <w:gridSpan w:val="2"/>
          </w:tcPr>
          <w:p w14:paraId="4C009271" w14:textId="77777777" w:rsidR="001A7049" w:rsidRPr="00AD058F" w:rsidRDefault="001A7049" w:rsidP="004F480E">
            <w:pPr>
              <w:rPr>
                <w:color w:val="000000" w:themeColor="text1"/>
              </w:rPr>
            </w:pPr>
            <w:r w:rsidRPr="00AD058F">
              <w:rPr>
                <w:color w:val="000000" w:themeColor="text1"/>
                <w:sz w:val="16"/>
                <w:szCs w:val="16"/>
              </w:rPr>
              <w:t>Course texts must be returned by the end of the semester.  Students are responsible for maintaining the condition of the texts assigned to them.  Replacement charges apply for books not returned, or books returned in unusable condition.</w:t>
            </w:r>
          </w:p>
        </w:tc>
      </w:tr>
    </w:tbl>
    <w:p w14:paraId="653B3A07" w14:textId="77777777" w:rsidR="00B71BBA" w:rsidRPr="00AD058F" w:rsidRDefault="00920FA7" w:rsidP="00463D9B">
      <w:pPr>
        <w:pStyle w:val="Heading1"/>
        <w:spacing w:after="0"/>
        <w:rPr>
          <w:color w:val="000000" w:themeColor="text1"/>
        </w:rPr>
      </w:pPr>
      <w:r w:rsidRPr="00AD058F">
        <w:rPr>
          <w:color w:val="000000" w:themeColor="text1"/>
        </w:rPr>
        <w:t xml:space="preserve">Course </w:t>
      </w:r>
      <w:r w:rsidR="00B71BBA" w:rsidRPr="00AD058F">
        <w:rPr>
          <w:color w:val="000000" w:themeColor="text1"/>
        </w:rPr>
        <w:t>Unit</w:t>
      </w:r>
      <w:r w:rsidRPr="00AD058F">
        <w:rPr>
          <w:color w:val="000000" w:themeColor="text1"/>
        </w:rPr>
        <w:t>s</w:t>
      </w:r>
      <w:r w:rsidR="00D904F0" w:rsidRPr="00AD058F">
        <w:rPr>
          <w:color w:val="000000" w:themeColor="text1"/>
        </w:rPr>
        <w:t>:</w:t>
      </w:r>
    </w:p>
    <w:tbl>
      <w:tblPr>
        <w:tblStyle w:val="TableGrid"/>
        <w:tblW w:w="0" w:type="auto"/>
        <w:tblLook w:val="04A0" w:firstRow="1" w:lastRow="0" w:firstColumn="1" w:lastColumn="0" w:noHBand="0" w:noVBand="1"/>
      </w:tblPr>
      <w:tblGrid>
        <w:gridCol w:w="828"/>
        <w:gridCol w:w="5659"/>
        <w:gridCol w:w="3435"/>
      </w:tblGrid>
      <w:tr w:rsidR="00B71BBA" w14:paraId="4ECB2B36" w14:textId="77777777">
        <w:tc>
          <w:tcPr>
            <w:tcW w:w="828" w:type="dxa"/>
          </w:tcPr>
          <w:p w14:paraId="2C2E0067" w14:textId="77777777" w:rsidR="00B71BBA" w:rsidRPr="00853C58" w:rsidRDefault="00B71BBA" w:rsidP="00B71BBA">
            <w:pPr>
              <w:rPr>
                <w:b/>
              </w:rPr>
            </w:pPr>
            <w:r w:rsidRPr="00853C58">
              <w:rPr>
                <w:b/>
              </w:rPr>
              <w:t>Unit #</w:t>
            </w:r>
          </w:p>
        </w:tc>
        <w:tc>
          <w:tcPr>
            <w:tcW w:w="5659" w:type="dxa"/>
          </w:tcPr>
          <w:p w14:paraId="7BD22B6F" w14:textId="77777777" w:rsidR="00B71BBA" w:rsidRPr="00853C58" w:rsidRDefault="00B71BBA" w:rsidP="00B71BBA">
            <w:pPr>
              <w:rPr>
                <w:b/>
              </w:rPr>
            </w:pPr>
            <w:r w:rsidRPr="00853C58">
              <w:rPr>
                <w:b/>
              </w:rPr>
              <w:t>Description</w:t>
            </w:r>
          </w:p>
        </w:tc>
        <w:tc>
          <w:tcPr>
            <w:tcW w:w="3435" w:type="dxa"/>
          </w:tcPr>
          <w:p w14:paraId="48D92E1F" w14:textId="77777777" w:rsidR="00FD65B1" w:rsidRPr="00853C58" w:rsidRDefault="00FD65B1" w:rsidP="00FD65B1">
            <w:pPr>
              <w:jc w:val="center"/>
              <w:rPr>
                <w:b/>
              </w:rPr>
            </w:pPr>
            <w:r w:rsidRPr="00853C58">
              <w:rPr>
                <w:b/>
              </w:rPr>
              <w:t>Weight (70%)</w:t>
            </w:r>
          </w:p>
        </w:tc>
      </w:tr>
      <w:tr w:rsidR="00B71BBA" w14:paraId="676CB66C" w14:textId="77777777">
        <w:tc>
          <w:tcPr>
            <w:tcW w:w="828" w:type="dxa"/>
          </w:tcPr>
          <w:p w14:paraId="63458930" w14:textId="77777777" w:rsidR="00B71BBA" w:rsidRPr="0039651F" w:rsidRDefault="00FD65B1" w:rsidP="00FD65B1">
            <w:pPr>
              <w:jc w:val="center"/>
              <w:rPr>
                <w:b/>
              </w:rPr>
            </w:pPr>
            <w:r w:rsidRPr="0039651F">
              <w:rPr>
                <w:b/>
              </w:rPr>
              <w:t>1</w:t>
            </w:r>
          </w:p>
        </w:tc>
        <w:tc>
          <w:tcPr>
            <w:tcW w:w="5659" w:type="dxa"/>
          </w:tcPr>
          <w:p w14:paraId="7DACD6B8" w14:textId="77777777" w:rsidR="00B71BBA" w:rsidRPr="0039651F" w:rsidRDefault="009D643F" w:rsidP="00B71BBA">
            <w:pPr>
              <w:rPr>
                <w:b/>
              </w:rPr>
            </w:pPr>
            <w:r>
              <w:rPr>
                <w:b/>
              </w:rPr>
              <w:t xml:space="preserve">The Mystery in </w:t>
            </w:r>
            <w:r w:rsidR="000B60A9">
              <w:rPr>
                <w:b/>
              </w:rPr>
              <w:t>Short Narrative</w:t>
            </w:r>
            <w:r>
              <w:rPr>
                <w:b/>
              </w:rPr>
              <w:t>s</w:t>
            </w:r>
            <w:r w:rsidR="000B60A9">
              <w:rPr>
                <w:b/>
              </w:rPr>
              <w:t xml:space="preserve"> </w:t>
            </w:r>
          </w:p>
          <w:p w14:paraId="6AB63A57" w14:textId="77777777" w:rsidR="00502B89" w:rsidRDefault="003761CE" w:rsidP="000B60A9">
            <w:pPr>
              <w:pStyle w:val="ListParagraph"/>
              <w:numPr>
                <w:ilvl w:val="0"/>
                <w:numId w:val="1"/>
              </w:numPr>
            </w:pPr>
            <w:r>
              <w:t xml:space="preserve">Students will </w:t>
            </w:r>
            <w:r w:rsidR="000B60A9">
              <w:t xml:space="preserve">review narrative structure with focus on literary </w:t>
            </w:r>
            <w:r w:rsidR="009D643F">
              <w:t xml:space="preserve">devices, mystery conventions, </w:t>
            </w:r>
            <w:r w:rsidR="000B60A9">
              <w:t>and summary techniques.</w:t>
            </w:r>
          </w:p>
        </w:tc>
        <w:tc>
          <w:tcPr>
            <w:tcW w:w="3435" w:type="dxa"/>
            <w:vAlign w:val="center"/>
          </w:tcPr>
          <w:p w14:paraId="6BE91237" w14:textId="77777777" w:rsidR="00B71BBA" w:rsidRDefault="000B60A9" w:rsidP="00D2465B">
            <w:pPr>
              <w:jc w:val="center"/>
            </w:pPr>
            <w:r>
              <w:t>10%</w:t>
            </w:r>
          </w:p>
        </w:tc>
      </w:tr>
      <w:tr w:rsidR="00B71BBA" w14:paraId="059B8A6F" w14:textId="77777777">
        <w:tc>
          <w:tcPr>
            <w:tcW w:w="828" w:type="dxa"/>
          </w:tcPr>
          <w:p w14:paraId="509F438C" w14:textId="77777777" w:rsidR="00B71BBA" w:rsidRPr="0039651F" w:rsidRDefault="00FD65B1" w:rsidP="00FD65B1">
            <w:pPr>
              <w:jc w:val="center"/>
              <w:rPr>
                <w:b/>
              </w:rPr>
            </w:pPr>
            <w:r w:rsidRPr="0039651F">
              <w:rPr>
                <w:b/>
              </w:rPr>
              <w:t>2</w:t>
            </w:r>
          </w:p>
        </w:tc>
        <w:tc>
          <w:tcPr>
            <w:tcW w:w="5659" w:type="dxa"/>
          </w:tcPr>
          <w:p w14:paraId="08EF246F" w14:textId="77777777" w:rsidR="00B71BBA" w:rsidRPr="0039651F" w:rsidRDefault="009D643F" w:rsidP="00B71BBA">
            <w:pPr>
              <w:rPr>
                <w:b/>
              </w:rPr>
            </w:pPr>
            <w:r>
              <w:rPr>
                <w:b/>
              </w:rPr>
              <w:t xml:space="preserve">Mystery </w:t>
            </w:r>
            <w:r w:rsidR="000B60A9">
              <w:rPr>
                <w:b/>
              </w:rPr>
              <w:t>Novel Study</w:t>
            </w:r>
          </w:p>
          <w:p w14:paraId="5955703E" w14:textId="77777777" w:rsidR="0039651F" w:rsidRDefault="00AD058F" w:rsidP="009D643F">
            <w:pPr>
              <w:pStyle w:val="ListParagraph"/>
              <w:numPr>
                <w:ilvl w:val="0"/>
                <w:numId w:val="1"/>
              </w:numPr>
            </w:pPr>
            <w:r>
              <w:t xml:space="preserve">Students will </w:t>
            </w:r>
            <w:r w:rsidR="000B60A9">
              <w:t xml:space="preserve">read either </w:t>
            </w:r>
            <w:r w:rsidR="000B60A9">
              <w:rPr>
                <w:i/>
              </w:rPr>
              <w:t xml:space="preserve">The Curious Incident of the Dog in the Nighttime </w:t>
            </w:r>
            <w:r w:rsidR="000B60A9">
              <w:t xml:space="preserve">OR </w:t>
            </w:r>
            <w:r w:rsidR="000B60A9">
              <w:rPr>
                <w:i/>
              </w:rPr>
              <w:t xml:space="preserve">The Knife of Never Letting Go </w:t>
            </w:r>
            <w:r w:rsidR="000B60A9" w:rsidRPr="000B60A9">
              <w:t>and</w:t>
            </w:r>
            <w:r w:rsidR="000B60A9">
              <w:rPr>
                <w:i/>
              </w:rPr>
              <w:t xml:space="preserve"> </w:t>
            </w:r>
            <w:r w:rsidR="000B60A9">
              <w:t xml:space="preserve">apply their understanding of narrative structure to the text. Focus will be on elements of mystery and </w:t>
            </w:r>
            <w:r w:rsidR="009D643F">
              <w:t>various forms of writing in response to the text</w:t>
            </w:r>
            <w:r w:rsidR="00AC7B7E">
              <w:t>, informed by some research</w:t>
            </w:r>
            <w:r w:rsidR="009D643F">
              <w:t xml:space="preserve">.  </w:t>
            </w:r>
          </w:p>
        </w:tc>
        <w:tc>
          <w:tcPr>
            <w:tcW w:w="3435" w:type="dxa"/>
            <w:vAlign w:val="center"/>
          </w:tcPr>
          <w:p w14:paraId="3DBFE406" w14:textId="77777777" w:rsidR="00B71BBA" w:rsidRDefault="00D804C8" w:rsidP="00D2465B">
            <w:pPr>
              <w:jc w:val="center"/>
            </w:pPr>
            <w:r>
              <w:t>3</w:t>
            </w:r>
            <w:r w:rsidR="009D643F">
              <w:t>5</w:t>
            </w:r>
            <w:r w:rsidR="00AD058F">
              <w:t>%</w:t>
            </w:r>
          </w:p>
        </w:tc>
      </w:tr>
      <w:tr w:rsidR="00B71BBA" w14:paraId="7C5C359B" w14:textId="77777777">
        <w:tc>
          <w:tcPr>
            <w:tcW w:w="828" w:type="dxa"/>
          </w:tcPr>
          <w:p w14:paraId="3B1A660B" w14:textId="77777777" w:rsidR="00B71BBA" w:rsidRPr="0039651F" w:rsidRDefault="00FD65B1" w:rsidP="00FD65B1">
            <w:pPr>
              <w:jc w:val="center"/>
              <w:rPr>
                <w:b/>
              </w:rPr>
            </w:pPr>
            <w:r w:rsidRPr="0039651F">
              <w:rPr>
                <w:b/>
              </w:rPr>
              <w:t>3</w:t>
            </w:r>
          </w:p>
        </w:tc>
        <w:tc>
          <w:tcPr>
            <w:tcW w:w="5659" w:type="dxa"/>
          </w:tcPr>
          <w:p w14:paraId="7EC983CB" w14:textId="77777777" w:rsidR="00B71BBA" w:rsidRPr="0039651F" w:rsidRDefault="009D643F" w:rsidP="00B71BBA">
            <w:pPr>
              <w:rPr>
                <w:b/>
              </w:rPr>
            </w:pPr>
            <w:r>
              <w:rPr>
                <w:b/>
              </w:rPr>
              <w:t>Unravelling the Mystery of Ethics in Advertising</w:t>
            </w:r>
          </w:p>
          <w:p w14:paraId="13D1EDBF" w14:textId="77777777" w:rsidR="0039651F" w:rsidRDefault="009D643F" w:rsidP="009D643F">
            <w:pPr>
              <w:pStyle w:val="ListParagraph"/>
              <w:numPr>
                <w:ilvl w:val="0"/>
                <w:numId w:val="1"/>
              </w:numPr>
            </w:pPr>
            <w:r>
              <w:t>Students will learn advertising techniques and engage with a series of advertisements for the purpose of deconstruction and critical media literacy.</w:t>
            </w:r>
          </w:p>
        </w:tc>
        <w:tc>
          <w:tcPr>
            <w:tcW w:w="3435" w:type="dxa"/>
            <w:vAlign w:val="center"/>
          </w:tcPr>
          <w:p w14:paraId="779A7A8C" w14:textId="77777777" w:rsidR="00B71BBA" w:rsidRDefault="0037629E" w:rsidP="003761CE">
            <w:pPr>
              <w:jc w:val="center"/>
            </w:pPr>
            <w:r>
              <w:t>25</w:t>
            </w:r>
            <w:r w:rsidR="000838D4">
              <w:t>%</w:t>
            </w:r>
          </w:p>
        </w:tc>
      </w:tr>
      <w:tr w:rsidR="00B71BBA" w14:paraId="37240B97" w14:textId="77777777">
        <w:tc>
          <w:tcPr>
            <w:tcW w:w="828" w:type="dxa"/>
          </w:tcPr>
          <w:p w14:paraId="7881791C" w14:textId="77777777" w:rsidR="00B71BBA" w:rsidRPr="0039651F" w:rsidRDefault="00FD65B1" w:rsidP="00FD65B1">
            <w:pPr>
              <w:jc w:val="center"/>
              <w:rPr>
                <w:b/>
              </w:rPr>
            </w:pPr>
            <w:r w:rsidRPr="0039651F">
              <w:rPr>
                <w:b/>
              </w:rPr>
              <w:t>4</w:t>
            </w:r>
          </w:p>
        </w:tc>
        <w:tc>
          <w:tcPr>
            <w:tcW w:w="5659" w:type="dxa"/>
          </w:tcPr>
          <w:p w14:paraId="1A10267A" w14:textId="77777777" w:rsidR="00B71BBA" w:rsidRPr="0039651F" w:rsidRDefault="009D643F" w:rsidP="00B71BBA">
            <w:pPr>
              <w:rPr>
                <w:b/>
              </w:rPr>
            </w:pPr>
            <w:r>
              <w:rPr>
                <w:b/>
              </w:rPr>
              <w:t>Legacy Project</w:t>
            </w:r>
            <w:r w:rsidR="00FC09A8">
              <w:rPr>
                <w:b/>
              </w:rPr>
              <w:t xml:space="preserve"> – Unravelling the Mystery of High School</w:t>
            </w:r>
          </w:p>
          <w:p w14:paraId="78A0E12C" w14:textId="77777777" w:rsidR="0039651F" w:rsidRDefault="009D643F" w:rsidP="009D643F">
            <w:pPr>
              <w:pStyle w:val="ListParagraph"/>
              <w:numPr>
                <w:ilvl w:val="0"/>
                <w:numId w:val="1"/>
              </w:numPr>
            </w:pPr>
            <w:r>
              <w:t>Students will engage in designing critical lessons for younger peers for the purpose of leaving behind a positive legacy.</w:t>
            </w:r>
          </w:p>
        </w:tc>
        <w:tc>
          <w:tcPr>
            <w:tcW w:w="3435" w:type="dxa"/>
            <w:vAlign w:val="center"/>
          </w:tcPr>
          <w:p w14:paraId="4EEB406E" w14:textId="77777777" w:rsidR="00D804C8" w:rsidRDefault="00D804C8" w:rsidP="00D804C8">
            <w:pPr>
              <w:jc w:val="center"/>
            </w:pPr>
            <w:r>
              <w:t>20% (culminating project)</w:t>
            </w:r>
          </w:p>
          <w:p w14:paraId="3213A815" w14:textId="77777777" w:rsidR="00B71BBA" w:rsidRDefault="00B71BBA" w:rsidP="009D643F">
            <w:pPr>
              <w:jc w:val="center"/>
            </w:pPr>
          </w:p>
        </w:tc>
      </w:tr>
      <w:tr w:rsidR="00B71BBA" w14:paraId="78BB5EF3" w14:textId="77777777">
        <w:tc>
          <w:tcPr>
            <w:tcW w:w="828" w:type="dxa"/>
          </w:tcPr>
          <w:p w14:paraId="7CDD7126" w14:textId="77777777" w:rsidR="00B71BBA" w:rsidRPr="0039651F" w:rsidRDefault="00567F7D" w:rsidP="00FD65B1">
            <w:pPr>
              <w:jc w:val="center"/>
              <w:rPr>
                <w:b/>
              </w:rPr>
            </w:pPr>
            <w:r>
              <w:rPr>
                <w:b/>
              </w:rPr>
              <w:t>5</w:t>
            </w:r>
          </w:p>
        </w:tc>
        <w:tc>
          <w:tcPr>
            <w:tcW w:w="5659" w:type="dxa"/>
          </w:tcPr>
          <w:p w14:paraId="564AC214" w14:textId="77777777" w:rsidR="00B71BBA" w:rsidRDefault="00E630C0" w:rsidP="00B71BBA">
            <w:pPr>
              <w:rPr>
                <w:b/>
              </w:rPr>
            </w:pPr>
            <w:r>
              <w:rPr>
                <w:b/>
              </w:rPr>
              <w:t>Exam</w:t>
            </w:r>
          </w:p>
          <w:p w14:paraId="0D045C19" w14:textId="77777777" w:rsidR="00223662" w:rsidRPr="00EE57E2" w:rsidRDefault="00D804C8" w:rsidP="00D804C8">
            <w:pPr>
              <w:pStyle w:val="ListParagraph"/>
              <w:numPr>
                <w:ilvl w:val="0"/>
                <w:numId w:val="1"/>
              </w:numPr>
            </w:pPr>
            <w:r>
              <w:t>Students will be required to write a final examination during the regular exam period.</w:t>
            </w:r>
          </w:p>
        </w:tc>
        <w:tc>
          <w:tcPr>
            <w:tcW w:w="3435" w:type="dxa"/>
            <w:vAlign w:val="center"/>
          </w:tcPr>
          <w:p w14:paraId="7B4DF4F5" w14:textId="77777777" w:rsidR="00223662" w:rsidRDefault="006F7ECE" w:rsidP="006F7ECE">
            <w:pPr>
              <w:jc w:val="center"/>
            </w:pPr>
            <w:r>
              <w:t>10</w:t>
            </w:r>
            <w:r w:rsidR="00223662">
              <w:t>% (exam)</w:t>
            </w:r>
          </w:p>
        </w:tc>
      </w:tr>
    </w:tbl>
    <w:p w14:paraId="57E10C4A" w14:textId="77777777" w:rsidR="00445D24" w:rsidRDefault="00445D24" w:rsidP="00445D24">
      <w:pPr>
        <w:pStyle w:val="Heading1"/>
        <w:spacing w:before="0" w:after="0"/>
      </w:pPr>
    </w:p>
    <w:p w14:paraId="12E4EDEE" w14:textId="77777777" w:rsidR="00445D24" w:rsidRDefault="00445D24" w:rsidP="00445D24">
      <w:pPr>
        <w:pStyle w:val="Heading1"/>
        <w:spacing w:before="0" w:after="0"/>
      </w:pPr>
      <w:r>
        <w:t>Essential Course Components:</w:t>
      </w:r>
    </w:p>
    <w:p w14:paraId="73887E21" w14:textId="77777777" w:rsidR="00445D24" w:rsidRPr="00360EEE" w:rsidRDefault="00445D24" w:rsidP="00445D24">
      <w:pPr>
        <w:spacing w:after="0"/>
        <w:rPr>
          <w:sz w:val="20"/>
        </w:rPr>
      </w:pPr>
      <w:r w:rsidRPr="00360EEE">
        <w:rPr>
          <w:sz w:val="20"/>
        </w:rPr>
        <w:t xml:space="preserve">To be successful in this course you </w:t>
      </w:r>
      <w:r w:rsidRPr="00360EEE">
        <w:rPr>
          <w:b/>
          <w:sz w:val="20"/>
          <w:u w:val="single"/>
        </w:rPr>
        <w:t>must</w:t>
      </w:r>
      <w:r w:rsidRPr="00360EEE">
        <w:rPr>
          <w:sz w:val="20"/>
        </w:rPr>
        <w:t xml:space="preserve"> be able to demonstrate </w:t>
      </w:r>
      <w:r w:rsidRPr="00360EEE">
        <w:rPr>
          <w:b/>
          <w:sz w:val="20"/>
          <w:u w:val="single"/>
        </w:rPr>
        <w:t>all</w:t>
      </w:r>
      <w:r w:rsidRPr="00360EEE">
        <w:rPr>
          <w:sz w:val="20"/>
        </w:rPr>
        <w:t xml:space="preserve"> of the following skills:</w:t>
      </w:r>
    </w:p>
    <w:p w14:paraId="565B9A71" w14:textId="77777777" w:rsidR="00445D24" w:rsidRPr="00360EEE" w:rsidRDefault="00445D24" w:rsidP="00445D24">
      <w:pPr>
        <w:pStyle w:val="ListParagraph"/>
        <w:numPr>
          <w:ilvl w:val="0"/>
          <w:numId w:val="5"/>
        </w:numPr>
        <w:spacing w:after="0"/>
        <w:rPr>
          <w:sz w:val="20"/>
        </w:rPr>
      </w:pPr>
      <w:r w:rsidRPr="00360EEE">
        <w:rPr>
          <w:sz w:val="20"/>
        </w:rPr>
        <w:t>Use appropriate strategies to identify purposes and listening strategies while developing critical understanding of oral texts.</w:t>
      </w:r>
    </w:p>
    <w:p w14:paraId="1340D4D1" w14:textId="77777777" w:rsidR="00445D24" w:rsidRPr="00360EEE" w:rsidRDefault="00445D24" w:rsidP="00445D24">
      <w:pPr>
        <w:pStyle w:val="ListParagraph"/>
        <w:numPr>
          <w:ilvl w:val="0"/>
          <w:numId w:val="5"/>
        </w:numPr>
        <w:spacing w:after="0"/>
        <w:rPr>
          <w:sz w:val="20"/>
        </w:rPr>
      </w:pPr>
      <w:r w:rsidRPr="00360EEE">
        <w:rPr>
          <w:sz w:val="20"/>
        </w:rPr>
        <w:t>Use effective speaking strategies, diction, and devices suitable to specific audiences.</w:t>
      </w:r>
    </w:p>
    <w:p w14:paraId="393121C1" w14:textId="77777777" w:rsidR="00445D24" w:rsidRPr="00360EEE" w:rsidRDefault="00445D24" w:rsidP="00445D24">
      <w:pPr>
        <w:pStyle w:val="ListParagraph"/>
        <w:numPr>
          <w:ilvl w:val="0"/>
          <w:numId w:val="5"/>
        </w:numPr>
        <w:spacing w:after="0"/>
        <w:rPr>
          <w:sz w:val="20"/>
        </w:rPr>
      </w:pPr>
      <w:r w:rsidRPr="00360EEE">
        <w:rPr>
          <w:sz w:val="20"/>
        </w:rPr>
        <w:t>Use effective reading strategies to develop understanding of content, make inferences, extend understanding, and critically analyze and evaluate a variety of texts.</w:t>
      </w:r>
    </w:p>
    <w:p w14:paraId="2CE8BC0F" w14:textId="77777777" w:rsidR="00445D24" w:rsidRPr="00360EEE" w:rsidRDefault="00445D24" w:rsidP="00445D24">
      <w:pPr>
        <w:pStyle w:val="ListParagraph"/>
        <w:numPr>
          <w:ilvl w:val="0"/>
          <w:numId w:val="5"/>
        </w:numPr>
        <w:spacing w:after="0"/>
        <w:rPr>
          <w:sz w:val="20"/>
        </w:rPr>
      </w:pPr>
      <w:r w:rsidRPr="00360EEE">
        <w:rPr>
          <w:sz w:val="20"/>
        </w:rPr>
        <w:t>Understand various textual forms and features, as well as elements of style.</w:t>
      </w:r>
    </w:p>
    <w:p w14:paraId="77836835" w14:textId="77777777" w:rsidR="00445D24" w:rsidRPr="00360EEE" w:rsidRDefault="00445D24" w:rsidP="00445D24">
      <w:pPr>
        <w:pStyle w:val="ListParagraph"/>
        <w:numPr>
          <w:ilvl w:val="0"/>
          <w:numId w:val="5"/>
        </w:numPr>
        <w:spacing w:after="0"/>
        <w:rPr>
          <w:sz w:val="20"/>
        </w:rPr>
      </w:pPr>
      <w:r w:rsidRPr="00360EEE">
        <w:rPr>
          <w:sz w:val="20"/>
        </w:rPr>
        <w:t>Develop vocabulary of familiar and unfamiliar terminology (</w:t>
      </w:r>
      <w:proofErr w:type="spellStart"/>
      <w:r w:rsidRPr="00360EEE">
        <w:rPr>
          <w:sz w:val="20"/>
        </w:rPr>
        <w:t>ie</w:t>
      </w:r>
      <w:proofErr w:type="spellEnd"/>
      <w:r w:rsidRPr="00360EEE">
        <w:rPr>
          <w:sz w:val="20"/>
        </w:rPr>
        <w:t>. literary and poetic devices).</w:t>
      </w:r>
    </w:p>
    <w:p w14:paraId="0741B484" w14:textId="77777777" w:rsidR="00445D24" w:rsidRPr="00360EEE" w:rsidRDefault="00445D24" w:rsidP="00445D24">
      <w:pPr>
        <w:pStyle w:val="ListParagraph"/>
        <w:numPr>
          <w:ilvl w:val="0"/>
          <w:numId w:val="5"/>
        </w:numPr>
        <w:spacing w:after="0"/>
        <w:rPr>
          <w:sz w:val="20"/>
        </w:rPr>
      </w:pPr>
      <w:r w:rsidRPr="00360EEE">
        <w:rPr>
          <w:sz w:val="20"/>
        </w:rPr>
        <w:t>Gather and organize information with an understanding of topic, purpose and audience.</w:t>
      </w:r>
    </w:p>
    <w:p w14:paraId="7EB6D7C8" w14:textId="77777777" w:rsidR="00445D24" w:rsidRPr="00360EEE" w:rsidRDefault="00445D24" w:rsidP="00445D24">
      <w:pPr>
        <w:pStyle w:val="ListParagraph"/>
        <w:numPr>
          <w:ilvl w:val="0"/>
          <w:numId w:val="5"/>
        </w:numPr>
        <w:spacing w:after="0"/>
        <w:rPr>
          <w:sz w:val="20"/>
        </w:rPr>
      </w:pPr>
      <w:r w:rsidRPr="00360EEE">
        <w:rPr>
          <w:sz w:val="20"/>
        </w:rPr>
        <w:t>Use the writing process to several different forms, developing voice, fluency, and sentence craft.</w:t>
      </w:r>
    </w:p>
    <w:p w14:paraId="47811DD3" w14:textId="77777777" w:rsidR="00445D24" w:rsidRPr="00360EEE" w:rsidRDefault="00445D24" w:rsidP="00445D24">
      <w:pPr>
        <w:pStyle w:val="ListParagraph"/>
        <w:numPr>
          <w:ilvl w:val="0"/>
          <w:numId w:val="5"/>
        </w:numPr>
        <w:spacing w:after="0"/>
        <w:rPr>
          <w:sz w:val="20"/>
        </w:rPr>
      </w:pPr>
      <w:r w:rsidRPr="00360EEE">
        <w:rPr>
          <w:sz w:val="20"/>
        </w:rPr>
        <w:t>Demonstrate an understanding of correct use of mechanics through drafting and editing, and producing finished works.</w:t>
      </w:r>
    </w:p>
    <w:p w14:paraId="3F61FF65" w14:textId="77777777" w:rsidR="00445D24" w:rsidRPr="00360EEE" w:rsidRDefault="00445D24" w:rsidP="00445D24">
      <w:pPr>
        <w:pStyle w:val="ListParagraph"/>
        <w:numPr>
          <w:ilvl w:val="0"/>
          <w:numId w:val="5"/>
        </w:numPr>
        <w:spacing w:after="0"/>
        <w:rPr>
          <w:sz w:val="20"/>
        </w:rPr>
      </w:pPr>
      <w:r w:rsidRPr="00360EEE">
        <w:rPr>
          <w:sz w:val="20"/>
        </w:rPr>
        <w:t>Interpret, analyze, and create complex media texts (their forms and techniques)</w:t>
      </w:r>
      <w:proofErr w:type="gramStart"/>
      <w:r w:rsidRPr="00360EEE">
        <w:rPr>
          <w:sz w:val="20"/>
        </w:rPr>
        <w:t>,  developing</w:t>
      </w:r>
      <w:proofErr w:type="gramEnd"/>
      <w:r w:rsidRPr="00360EEE">
        <w:rPr>
          <w:sz w:val="20"/>
        </w:rPr>
        <w:t xml:space="preserve"> an understanding of production, marketing, and audience.</w:t>
      </w:r>
    </w:p>
    <w:p w14:paraId="2D8F9411" w14:textId="77777777" w:rsidR="00445D24" w:rsidRPr="00360EEE" w:rsidRDefault="00445D24" w:rsidP="00445D24">
      <w:pPr>
        <w:pStyle w:val="ListParagraph"/>
        <w:numPr>
          <w:ilvl w:val="0"/>
          <w:numId w:val="5"/>
        </w:numPr>
        <w:spacing w:after="120"/>
        <w:rPr>
          <w:sz w:val="20"/>
        </w:rPr>
      </w:pPr>
      <w:r w:rsidRPr="00360EEE">
        <w:rPr>
          <w:sz w:val="20"/>
        </w:rPr>
        <w:t>Reflect upon oral and listening strategies, reading strategies, writing strategies, and interpretation and creation strategies for media texts. Identify strengths and weaknesses to build communication skills.</w:t>
      </w:r>
    </w:p>
    <w:p w14:paraId="49DDAA74" w14:textId="77777777" w:rsidR="00445D24" w:rsidRPr="00445D24" w:rsidRDefault="00445D24" w:rsidP="00445D24">
      <w:pPr>
        <w:rPr>
          <w:sz w:val="2"/>
          <w:szCs w:val="2"/>
        </w:rPr>
      </w:pPr>
    </w:p>
    <w:p w14:paraId="783029DD" w14:textId="77777777" w:rsidR="00445D24" w:rsidRDefault="00445D24" w:rsidP="00445D24">
      <w:pPr>
        <w:pStyle w:val="Heading1"/>
        <w:spacing w:before="0" w:after="0"/>
      </w:pPr>
      <w:r>
        <w:t>Procedures:</w:t>
      </w:r>
    </w:p>
    <w:p w14:paraId="6AC2ED62" w14:textId="77777777" w:rsidR="00445D24" w:rsidRPr="00360EEE" w:rsidRDefault="00445D24" w:rsidP="00445D24">
      <w:pPr>
        <w:spacing w:after="0"/>
        <w:rPr>
          <w:sz w:val="20"/>
        </w:rPr>
      </w:pPr>
      <w:r w:rsidRPr="00360EEE">
        <w:rPr>
          <w:b/>
          <w:sz w:val="20"/>
        </w:rPr>
        <w:t>Late and Missing Assignments:</w:t>
      </w:r>
      <w:r w:rsidRPr="00360EEE">
        <w:rPr>
          <w:sz w:val="20"/>
        </w:rPr>
        <w:t xml:space="preserve">  It is important for students to develop good personal management skills (such as time management and planning).  These skills will be reflected in the </w:t>
      </w:r>
      <w:r w:rsidRPr="00360EEE">
        <w:rPr>
          <w:b/>
          <w:sz w:val="20"/>
        </w:rPr>
        <w:t>learning skills</w:t>
      </w:r>
      <w:r w:rsidRPr="00360EEE">
        <w:rPr>
          <w:sz w:val="20"/>
        </w:rPr>
        <w:t xml:space="preserve"> area of the report card.  All of the above listed skills/assignments in the core elements checklist must be submitted and/or demonstrated in order to earn this credit.  </w:t>
      </w:r>
    </w:p>
    <w:p w14:paraId="5319AA3B" w14:textId="77777777" w:rsidR="00445D24" w:rsidRPr="00360EEE" w:rsidRDefault="00445D24" w:rsidP="00445D24">
      <w:pPr>
        <w:spacing w:after="0"/>
        <w:rPr>
          <w:sz w:val="20"/>
        </w:rPr>
      </w:pPr>
      <w:r w:rsidRPr="00360EEE">
        <w:rPr>
          <w:b/>
          <w:sz w:val="20"/>
        </w:rPr>
        <w:t>Attendance:</w:t>
      </w:r>
      <w:r w:rsidRPr="00360EEE">
        <w:rPr>
          <w:sz w:val="20"/>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are responsible for what they missed during their absence.</w:t>
      </w:r>
    </w:p>
    <w:p w14:paraId="1AA48D46" w14:textId="77777777" w:rsidR="00445D24" w:rsidRPr="00360EEE" w:rsidRDefault="00445D24" w:rsidP="00445D24">
      <w:pPr>
        <w:spacing w:after="0"/>
        <w:rPr>
          <w:sz w:val="20"/>
        </w:rPr>
      </w:pPr>
      <w:r w:rsidRPr="00360EEE">
        <w:rPr>
          <w:b/>
          <w:sz w:val="20"/>
        </w:rPr>
        <w:t>Cheating and Plagiarism:</w:t>
      </w:r>
      <w:r w:rsidRPr="00360EEE">
        <w:rPr>
          <w:sz w:val="20"/>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consultation with administration, depending on the situation:</w:t>
      </w:r>
    </w:p>
    <w:p w14:paraId="35CC893A" w14:textId="77777777" w:rsidR="00445D24" w:rsidRPr="00360EEE" w:rsidRDefault="00445D24" w:rsidP="00445D24">
      <w:pPr>
        <w:pStyle w:val="ListParagraph"/>
        <w:numPr>
          <w:ilvl w:val="0"/>
          <w:numId w:val="2"/>
        </w:numPr>
        <w:spacing w:after="0"/>
        <w:rPr>
          <w:sz w:val="20"/>
        </w:rPr>
      </w:pPr>
      <w:r w:rsidRPr="00360EEE">
        <w:rPr>
          <w:sz w:val="20"/>
        </w:rPr>
        <w:t>The student may be required to redo all or part of the assignment or assessment.</w:t>
      </w:r>
    </w:p>
    <w:p w14:paraId="02B944E6" w14:textId="77777777" w:rsidR="00445D24" w:rsidRPr="00360EEE" w:rsidRDefault="00445D24" w:rsidP="00445D24">
      <w:pPr>
        <w:pStyle w:val="ListParagraph"/>
        <w:numPr>
          <w:ilvl w:val="0"/>
          <w:numId w:val="2"/>
        </w:numPr>
        <w:spacing w:after="0"/>
        <w:rPr>
          <w:sz w:val="20"/>
        </w:rPr>
      </w:pPr>
      <w:r w:rsidRPr="00360EEE">
        <w:rPr>
          <w:sz w:val="20"/>
        </w:rPr>
        <w:t>The student may be required to complete an alternate assignment or assessment.</w:t>
      </w:r>
    </w:p>
    <w:p w14:paraId="1894E254" w14:textId="77777777" w:rsidR="00445D24" w:rsidRPr="00360EEE" w:rsidRDefault="00445D24" w:rsidP="00445D24">
      <w:pPr>
        <w:pStyle w:val="ListParagraph"/>
        <w:numPr>
          <w:ilvl w:val="0"/>
          <w:numId w:val="2"/>
        </w:numPr>
        <w:spacing w:after="0"/>
        <w:rPr>
          <w:sz w:val="20"/>
        </w:rPr>
      </w:pPr>
      <w:r w:rsidRPr="00360EEE">
        <w:rPr>
          <w:sz w:val="20"/>
        </w:rPr>
        <w:t>The student’s work may be treated as a missed assignment.</w:t>
      </w:r>
    </w:p>
    <w:p w14:paraId="22BB81E4" w14:textId="77777777" w:rsidR="00445D24" w:rsidRPr="00360EEE" w:rsidRDefault="00445D24" w:rsidP="00445D24">
      <w:pPr>
        <w:spacing w:after="0"/>
        <w:rPr>
          <w:sz w:val="20"/>
        </w:rPr>
      </w:pPr>
      <w:r w:rsidRPr="00360EEE">
        <w:rPr>
          <w:sz w:val="20"/>
        </w:rPr>
        <w:t xml:space="preserve">There may also be other consequences that are determined to be appropriate (e.g. detention, suspension, etc.) as per the school’s progressive discipline process.  Parents/guardians will be informed about the infraction and the consequences. </w:t>
      </w:r>
    </w:p>
    <w:p w14:paraId="0E72DC5A" w14:textId="77777777" w:rsidR="00445D24" w:rsidRPr="00360EEE" w:rsidRDefault="00445D24" w:rsidP="00445D24">
      <w:pPr>
        <w:spacing w:after="120"/>
        <w:rPr>
          <w:sz w:val="20"/>
        </w:rPr>
      </w:pPr>
      <w:r w:rsidRPr="00360EEE">
        <w:rPr>
          <w:sz w:val="20"/>
        </w:rPr>
        <w:t>Please refer to your student handbook for more details on these policies and other academic procedures.</w:t>
      </w:r>
    </w:p>
    <w:p w14:paraId="677C17F9" w14:textId="77777777" w:rsidR="00445D24" w:rsidRDefault="00445D24" w:rsidP="00445D24">
      <w:pPr>
        <w:pStyle w:val="Heading1"/>
        <w:spacing w:before="0" w:after="0"/>
      </w:pPr>
      <w:r>
        <w:t>Signatures:</w:t>
      </w:r>
    </w:p>
    <w:p w14:paraId="1EB09CE7" w14:textId="77777777" w:rsidR="00445D24" w:rsidRPr="00360EEE" w:rsidRDefault="00445D24" w:rsidP="00445D24">
      <w:pPr>
        <w:spacing w:after="0"/>
        <w:rPr>
          <w:sz w:val="20"/>
        </w:rPr>
      </w:pPr>
      <w:r w:rsidRPr="00360EEE">
        <w:rPr>
          <w:sz w:val="20"/>
        </w:rPr>
        <w:t>Please sign below indicating you have read and understand the requirements for successful completion of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445D24" w14:paraId="64277FE4" w14:textId="77777777" w:rsidTr="00C06F51">
        <w:tc>
          <w:tcPr>
            <w:tcW w:w="3308" w:type="dxa"/>
            <w:tcBorders>
              <w:bottom w:val="single" w:sz="4" w:space="0" w:color="auto"/>
            </w:tcBorders>
          </w:tcPr>
          <w:p w14:paraId="787FFD8A" w14:textId="77777777" w:rsidR="00445D24" w:rsidRDefault="00445D24" w:rsidP="00C06F51"/>
          <w:p w14:paraId="612E9D1A" w14:textId="77777777" w:rsidR="00445D24" w:rsidRDefault="00445D24" w:rsidP="00C06F51"/>
        </w:tc>
        <w:tc>
          <w:tcPr>
            <w:tcW w:w="3307" w:type="dxa"/>
          </w:tcPr>
          <w:p w14:paraId="544DE5F4" w14:textId="77777777" w:rsidR="00445D24" w:rsidRDefault="00445D24" w:rsidP="00C06F51"/>
        </w:tc>
        <w:tc>
          <w:tcPr>
            <w:tcW w:w="3307" w:type="dxa"/>
            <w:tcBorders>
              <w:bottom w:val="single" w:sz="4" w:space="0" w:color="auto"/>
            </w:tcBorders>
          </w:tcPr>
          <w:p w14:paraId="4B7BB6FA" w14:textId="77777777" w:rsidR="00445D24" w:rsidRDefault="00445D24" w:rsidP="00C06F51"/>
        </w:tc>
      </w:tr>
      <w:tr w:rsidR="00445D24" w14:paraId="382D248A" w14:textId="77777777" w:rsidTr="00C06F51">
        <w:tc>
          <w:tcPr>
            <w:tcW w:w="3308" w:type="dxa"/>
            <w:tcBorders>
              <w:top w:val="single" w:sz="4" w:space="0" w:color="auto"/>
            </w:tcBorders>
          </w:tcPr>
          <w:p w14:paraId="5A623D52" w14:textId="77777777" w:rsidR="00445D24" w:rsidRDefault="00445D24" w:rsidP="00C06F51">
            <w:r>
              <w:t>Student</w:t>
            </w:r>
          </w:p>
        </w:tc>
        <w:tc>
          <w:tcPr>
            <w:tcW w:w="3307" w:type="dxa"/>
          </w:tcPr>
          <w:p w14:paraId="05D7576C" w14:textId="77777777" w:rsidR="00445D24" w:rsidRDefault="00445D24" w:rsidP="00C06F51"/>
        </w:tc>
        <w:tc>
          <w:tcPr>
            <w:tcW w:w="3307" w:type="dxa"/>
            <w:tcBorders>
              <w:top w:val="single" w:sz="4" w:space="0" w:color="auto"/>
            </w:tcBorders>
          </w:tcPr>
          <w:p w14:paraId="31417B8A" w14:textId="77777777" w:rsidR="00445D24" w:rsidRDefault="00445D24" w:rsidP="00C06F51">
            <w:r>
              <w:t>Parent/Guardian</w:t>
            </w:r>
          </w:p>
        </w:tc>
      </w:tr>
    </w:tbl>
    <w:p w14:paraId="36DF9FF2" w14:textId="77777777" w:rsidR="00445D24" w:rsidRDefault="00445D24" w:rsidP="00445D2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445D24" w14:paraId="17906A8B" w14:textId="77777777" w:rsidTr="00C06F51">
        <w:tc>
          <w:tcPr>
            <w:tcW w:w="3308" w:type="dxa"/>
            <w:tcBorders>
              <w:bottom w:val="single" w:sz="4" w:space="0" w:color="auto"/>
            </w:tcBorders>
          </w:tcPr>
          <w:p w14:paraId="3C07CA46" w14:textId="77777777" w:rsidR="00445D24" w:rsidRDefault="00445D24" w:rsidP="00C06F51"/>
        </w:tc>
        <w:tc>
          <w:tcPr>
            <w:tcW w:w="3307" w:type="dxa"/>
          </w:tcPr>
          <w:p w14:paraId="11E7C496" w14:textId="77777777" w:rsidR="00445D24" w:rsidRDefault="00445D24" w:rsidP="00C06F51"/>
        </w:tc>
        <w:tc>
          <w:tcPr>
            <w:tcW w:w="3307" w:type="dxa"/>
            <w:tcBorders>
              <w:bottom w:val="single" w:sz="4" w:space="0" w:color="auto"/>
            </w:tcBorders>
          </w:tcPr>
          <w:p w14:paraId="036D6A37" w14:textId="77777777" w:rsidR="00445D24" w:rsidRDefault="00445D24" w:rsidP="00C06F51"/>
        </w:tc>
      </w:tr>
      <w:tr w:rsidR="00445D24" w14:paraId="08128750" w14:textId="77777777" w:rsidTr="00C06F51">
        <w:tc>
          <w:tcPr>
            <w:tcW w:w="3308" w:type="dxa"/>
            <w:tcBorders>
              <w:top w:val="single" w:sz="4" w:space="0" w:color="auto"/>
            </w:tcBorders>
          </w:tcPr>
          <w:p w14:paraId="1A541091" w14:textId="77777777" w:rsidR="00445D24" w:rsidRDefault="00445D24" w:rsidP="00C06F51">
            <w:r>
              <w:t>Date</w:t>
            </w:r>
          </w:p>
        </w:tc>
        <w:tc>
          <w:tcPr>
            <w:tcW w:w="3307" w:type="dxa"/>
          </w:tcPr>
          <w:p w14:paraId="260C5BC0" w14:textId="77777777" w:rsidR="00445D24" w:rsidRDefault="00445D24" w:rsidP="00C06F51"/>
        </w:tc>
        <w:tc>
          <w:tcPr>
            <w:tcW w:w="3307" w:type="dxa"/>
            <w:tcBorders>
              <w:top w:val="single" w:sz="4" w:space="0" w:color="auto"/>
            </w:tcBorders>
          </w:tcPr>
          <w:p w14:paraId="43289CC2" w14:textId="77777777" w:rsidR="00445D24" w:rsidRDefault="00445D24" w:rsidP="00C06F51">
            <w:r>
              <w:t>Date</w:t>
            </w:r>
          </w:p>
        </w:tc>
      </w:tr>
    </w:tbl>
    <w:p w14:paraId="1DD93A69" w14:textId="77777777" w:rsidR="004A068A" w:rsidRPr="00445D24" w:rsidRDefault="004A068A" w:rsidP="00445D24">
      <w:pPr>
        <w:pStyle w:val="Heading1"/>
        <w:rPr>
          <w:b w:val="0"/>
          <w:sz w:val="2"/>
          <w:szCs w:val="2"/>
        </w:rPr>
      </w:pPr>
    </w:p>
    <w:sectPr w:rsidR="004A068A" w:rsidRPr="00445D24" w:rsidSect="00463D9B">
      <w:type w:val="continuous"/>
      <w:pgSz w:w="12240" w:h="15840"/>
      <w:pgMar w:top="720" w:right="1267" w:bottom="1080" w:left="1267" w:header="4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491E3" w14:textId="77777777" w:rsidR="003826A6" w:rsidRDefault="003826A6" w:rsidP="001E3F60">
      <w:pPr>
        <w:spacing w:after="0" w:line="240" w:lineRule="auto"/>
      </w:pPr>
      <w:r>
        <w:separator/>
      </w:r>
    </w:p>
  </w:endnote>
  <w:endnote w:type="continuationSeparator" w:id="0">
    <w:p w14:paraId="5748E547" w14:textId="77777777" w:rsidR="003826A6" w:rsidRDefault="003826A6" w:rsidP="001E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Headings)">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E4A3" w14:textId="77777777" w:rsidR="003826A6" w:rsidRDefault="003826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09/02/14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445D24" w:rsidRPr="00445D24">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445D24">
      <w:fldChar w:fldCharType="begin"/>
    </w:r>
    <w:r w:rsidR="00445D24">
      <w:instrText xml:space="preserve"> NUMPAGES  \* Arabic  \* MERGEFORMAT </w:instrText>
    </w:r>
    <w:r w:rsidR="00445D24">
      <w:fldChar w:fldCharType="separate"/>
    </w:r>
    <w:r w:rsidR="00445D24" w:rsidRPr="00445D24">
      <w:rPr>
        <w:rFonts w:asciiTheme="majorHAnsi" w:eastAsiaTheme="majorEastAsia" w:hAnsiTheme="majorHAnsi" w:cstheme="majorBidi"/>
        <w:noProof/>
      </w:rPr>
      <w:t>3</w:t>
    </w:r>
    <w:r w:rsidR="00445D24">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p>
  <w:p w14:paraId="0BDF1045" w14:textId="77777777" w:rsidR="003826A6" w:rsidRDefault="00382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73EF3" w14:textId="77777777" w:rsidR="003826A6" w:rsidRDefault="003826A6" w:rsidP="001E3F60">
      <w:pPr>
        <w:spacing w:after="0" w:line="240" w:lineRule="auto"/>
      </w:pPr>
      <w:r>
        <w:separator/>
      </w:r>
    </w:p>
  </w:footnote>
  <w:footnote w:type="continuationSeparator" w:id="0">
    <w:p w14:paraId="2F52A1D9" w14:textId="77777777" w:rsidR="003826A6" w:rsidRDefault="003826A6" w:rsidP="001E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C5CA" w14:textId="77777777" w:rsidR="003826A6" w:rsidRPr="00A5488E" w:rsidRDefault="003826A6" w:rsidP="00A5488E">
    <w:pPr>
      <w:pStyle w:val="Header"/>
      <w:jc w:val="center"/>
      <w:rPr>
        <w:b/>
        <w:sz w:val="28"/>
        <w:szCs w:val="28"/>
      </w:rPr>
    </w:pPr>
    <w:r>
      <w:rPr>
        <w:b/>
        <w:sz w:val="28"/>
        <w:szCs w:val="28"/>
      </w:rPr>
      <w:t>Preston High School – English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F353CC"/>
    <w:multiLevelType w:val="hybridMultilevel"/>
    <w:tmpl w:val="05D40A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EE86AE6"/>
    <w:multiLevelType w:val="hybridMultilevel"/>
    <w:tmpl w:val="9728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62DBC"/>
    <w:multiLevelType w:val="hybridMultilevel"/>
    <w:tmpl w:val="69380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480418"/>
    <w:multiLevelType w:val="hybridMultilevel"/>
    <w:tmpl w:val="9E604A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BA"/>
    <w:rsid w:val="0005137F"/>
    <w:rsid w:val="00077B9D"/>
    <w:rsid w:val="000838D4"/>
    <w:rsid w:val="000B0D17"/>
    <w:rsid w:val="000B60A9"/>
    <w:rsid w:val="00114E43"/>
    <w:rsid w:val="00120747"/>
    <w:rsid w:val="00126EC9"/>
    <w:rsid w:val="00177693"/>
    <w:rsid w:val="001A7049"/>
    <w:rsid w:val="001E3F60"/>
    <w:rsid w:val="001E74F6"/>
    <w:rsid w:val="001F427A"/>
    <w:rsid w:val="00223662"/>
    <w:rsid w:val="0026183D"/>
    <w:rsid w:val="00267E15"/>
    <w:rsid w:val="002E2590"/>
    <w:rsid w:val="00340B3B"/>
    <w:rsid w:val="003476F9"/>
    <w:rsid w:val="00357DB5"/>
    <w:rsid w:val="003761CE"/>
    <w:rsid w:val="0037629E"/>
    <w:rsid w:val="00376995"/>
    <w:rsid w:val="003826A6"/>
    <w:rsid w:val="003925F3"/>
    <w:rsid w:val="00392A59"/>
    <w:rsid w:val="0039651F"/>
    <w:rsid w:val="003A2EC1"/>
    <w:rsid w:val="003D7508"/>
    <w:rsid w:val="003E57D1"/>
    <w:rsid w:val="003F454F"/>
    <w:rsid w:val="00423A3A"/>
    <w:rsid w:val="00445D24"/>
    <w:rsid w:val="00463D9B"/>
    <w:rsid w:val="004712AC"/>
    <w:rsid w:val="0047255A"/>
    <w:rsid w:val="004A068A"/>
    <w:rsid w:val="004D5D29"/>
    <w:rsid w:val="004E2352"/>
    <w:rsid w:val="004F480E"/>
    <w:rsid w:val="00502B89"/>
    <w:rsid w:val="00504E52"/>
    <w:rsid w:val="0054570E"/>
    <w:rsid w:val="00567F7D"/>
    <w:rsid w:val="00582C70"/>
    <w:rsid w:val="005C0DF7"/>
    <w:rsid w:val="005D7F08"/>
    <w:rsid w:val="00603E0C"/>
    <w:rsid w:val="006B7398"/>
    <w:rsid w:val="006E70CD"/>
    <w:rsid w:val="006F7ECE"/>
    <w:rsid w:val="00727C47"/>
    <w:rsid w:val="007823C4"/>
    <w:rsid w:val="00792B0C"/>
    <w:rsid w:val="007D08BD"/>
    <w:rsid w:val="007D381D"/>
    <w:rsid w:val="00846F2A"/>
    <w:rsid w:val="00853C58"/>
    <w:rsid w:val="00876EF0"/>
    <w:rsid w:val="00880721"/>
    <w:rsid w:val="00897BB5"/>
    <w:rsid w:val="008A581B"/>
    <w:rsid w:val="008E782B"/>
    <w:rsid w:val="00915BAC"/>
    <w:rsid w:val="00920FA7"/>
    <w:rsid w:val="009716D3"/>
    <w:rsid w:val="009965DE"/>
    <w:rsid w:val="009B035C"/>
    <w:rsid w:val="009D643F"/>
    <w:rsid w:val="009E1E1F"/>
    <w:rsid w:val="009E4801"/>
    <w:rsid w:val="00A23C5D"/>
    <w:rsid w:val="00A5488E"/>
    <w:rsid w:val="00A73E81"/>
    <w:rsid w:val="00AC05E4"/>
    <w:rsid w:val="00AC7B7E"/>
    <w:rsid w:val="00AD058F"/>
    <w:rsid w:val="00AD46FF"/>
    <w:rsid w:val="00B06355"/>
    <w:rsid w:val="00B4079E"/>
    <w:rsid w:val="00B71BBA"/>
    <w:rsid w:val="00B96A40"/>
    <w:rsid w:val="00BA33BE"/>
    <w:rsid w:val="00BA3F45"/>
    <w:rsid w:val="00BA573D"/>
    <w:rsid w:val="00BE032D"/>
    <w:rsid w:val="00C05143"/>
    <w:rsid w:val="00C13FC0"/>
    <w:rsid w:val="00C400A4"/>
    <w:rsid w:val="00CC5CB6"/>
    <w:rsid w:val="00CE5338"/>
    <w:rsid w:val="00CE67C4"/>
    <w:rsid w:val="00D01EDD"/>
    <w:rsid w:val="00D0707D"/>
    <w:rsid w:val="00D2465B"/>
    <w:rsid w:val="00D246EC"/>
    <w:rsid w:val="00D262C5"/>
    <w:rsid w:val="00D42CE3"/>
    <w:rsid w:val="00D45D59"/>
    <w:rsid w:val="00D529A1"/>
    <w:rsid w:val="00D804C8"/>
    <w:rsid w:val="00D904F0"/>
    <w:rsid w:val="00D92F47"/>
    <w:rsid w:val="00D941E3"/>
    <w:rsid w:val="00DA150E"/>
    <w:rsid w:val="00DA350A"/>
    <w:rsid w:val="00DE2B60"/>
    <w:rsid w:val="00DF0B0E"/>
    <w:rsid w:val="00DF415E"/>
    <w:rsid w:val="00E16B2B"/>
    <w:rsid w:val="00E30207"/>
    <w:rsid w:val="00E630C0"/>
    <w:rsid w:val="00E721F2"/>
    <w:rsid w:val="00E84E23"/>
    <w:rsid w:val="00E85A8E"/>
    <w:rsid w:val="00E87B19"/>
    <w:rsid w:val="00EC51B5"/>
    <w:rsid w:val="00EE2E42"/>
    <w:rsid w:val="00EE57E2"/>
    <w:rsid w:val="00F053BD"/>
    <w:rsid w:val="00F11EDD"/>
    <w:rsid w:val="00F611F5"/>
    <w:rsid w:val="00F70A87"/>
    <w:rsid w:val="00FC09A8"/>
    <w:rsid w:val="00FD65B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2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unhideWhenUsed/>
    <w:rsid w:val="00445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unhideWhenUsed/>
    <w:rsid w:val="00445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rbignell.weebl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C08B-CC6A-4B46-A993-1DC9329F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2015-01-30T18:08:00Z</cp:lastPrinted>
  <dcterms:created xsi:type="dcterms:W3CDTF">2015-01-30T18:10:00Z</dcterms:created>
  <dcterms:modified xsi:type="dcterms:W3CDTF">2015-01-30T18:10:00Z</dcterms:modified>
</cp:coreProperties>
</file>