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14" w:rsidRDefault="00BD3014" w:rsidP="00BD3014">
      <w:pPr>
        <w:rPr>
          <w:b/>
          <w:bCs/>
        </w:rPr>
      </w:pPr>
      <w:r>
        <w:rPr>
          <w:b/>
          <w:bCs/>
        </w:rPr>
        <w:t xml:space="preserve">Archetypes in 'The </w:t>
      </w:r>
      <w:proofErr w:type="spellStart"/>
      <w:r>
        <w:rPr>
          <w:b/>
          <w:bCs/>
        </w:rPr>
        <w:t>Incredibles</w:t>
      </w:r>
      <w:proofErr w:type="spellEnd"/>
      <w:r>
        <w:rPr>
          <w:b/>
          <w:bCs/>
        </w:rPr>
        <w:t>'                                                              Name:</w:t>
      </w:r>
    </w:p>
    <w:p w:rsidR="00BD3014" w:rsidRDefault="00BD3014" w:rsidP="00BD3014">
      <w:pPr>
        <w:rPr>
          <w:b/>
          <w:bCs/>
        </w:rPr>
      </w:pPr>
      <w:r>
        <w:rPr>
          <w:b/>
          <w:bCs/>
        </w:rPr>
        <w:t>ENG 2PI</w:t>
      </w:r>
    </w:p>
    <w:p w:rsidR="00BD3014" w:rsidRDefault="00BD3014" w:rsidP="00BD3014">
      <w:pPr>
        <w:rPr>
          <w:b/>
          <w:bCs/>
        </w:rPr>
      </w:pPr>
    </w:p>
    <w:p w:rsidR="00BD3014" w:rsidRDefault="00BD3014" w:rsidP="00BD3014">
      <w:pPr>
        <w:rPr>
          <w:i/>
          <w:iCs/>
          <w:sz w:val="20"/>
          <w:szCs w:val="20"/>
        </w:rPr>
      </w:pPr>
      <w:r w:rsidRPr="00794DC7">
        <w:rPr>
          <w:i/>
          <w:iCs/>
          <w:sz w:val="20"/>
          <w:szCs w:val="20"/>
        </w:rPr>
        <w:t xml:space="preserve">Fill in the following chart about the characters in 'The </w:t>
      </w:r>
      <w:proofErr w:type="spellStart"/>
      <w:r w:rsidRPr="00794DC7">
        <w:rPr>
          <w:i/>
          <w:iCs/>
          <w:sz w:val="20"/>
          <w:szCs w:val="20"/>
        </w:rPr>
        <w:t>Incredibles</w:t>
      </w:r>
      <w:proofErr w:type="spellEnd"/>
      <w:r w:rsidRPr="00794DC7">
        <w:rPr>
          <w:i/>
          <w:iCs/>
          <w:sz w:val="20"/>
          <w:szCs w:val="20"/>
        </w:rPr>
        <w:t>.' Decide which archetype each represents (some of the archetypes may apply to more than one character). In the last column, give an example either of how that character fits his/her archetypal pattern, or else how he/she breaks that pattern.</w:t>
      </w:r>
    </w:p>
    <w:p w:rsidR="00BD3014" w:rsidRPr="00794DC7" w:rsidRDefault="00BD3014" w:rsidP="00BD3014">
      <w:pPr>
        <w:rPr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25"/>
        <w:gridCol w:w="2460"/>
        <w:gridCol w:w="5490"/>
      </w:tblGrid>
      <w:tr w:rsidR="00BD3014" w:rsidTr="00794DC7"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Character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Archetype</w:t>
            </w:r>
          </w:p>
        </w:tc>
        <w:tc>
          <w:tcPr>
            <w:tcW w:w="5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Example of archetype behaviour (or not)</w:t>
            </w:r>
          </w:p>
        </w:tc>
      </w:tr>
      <w:tr w:rsidR="00BD3014" w:rsidTr="00794DC7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Mr. Incredible</w:t>
            </w:r>
          </w:p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5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</w:tr>
      <w:tr w:rsidR="00BD3014" w:rsidTr="00794DC7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Elastigirl</w:t>
            </w:r>
            <w:proofErr w:type="spellEnd"/>
          </w:p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5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</w:tr>
      <w:tr w:rsidR="00BD3014" w:rsidTr="00794DC7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Violet</w:t>
            </w:r>
          </w:p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5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</w:tr>
      <w:tr w:rsidR="00BD3014" w:rsidTr="00794DC7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Dash</w:t>
            </w:r>
          </w:p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5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</w:tr>
      <w:tr w:rsidR="00BD3014" w:rsidTr="00794DC7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Jack-Jack</w:t>
            </w:r>
          </w:p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5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</w:tr>
      <w:tr w:rsidR="00BD3014" w:rsidTr="00794DC7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Frozone</w:t>
            </w:r>
            <w:proofErr w:type="spellEnd"/>
          </w:p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5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</w:tr>
      <w:tr w:rsidR="00BD3014" w:rsidTr="00794DC7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Edna</w:t>
            </w:r>
          </w:p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5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</w:tr>
      <w:tr w:rsidR="00BD3014" w:rsidTr="00794DC7"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Syndrome</w:t>
            </w:r>
          </w:p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5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sz w:val="30"/>
                <w:szCs w:val="30"/>
              </w:rPr>
            </w:pPr>
          </w:p>
        </w:tc>
      </w:tr>
    </w:tbl>
    <w:p w:rsidR="00BD3014" w:rsidRDefault="00BD3014" w:rsidP="00BD3014"/>
    <w:p w:rsidR="00BD3014" w:rsidRPr="00794DC7" w:rsidRDefault="00BD3014" w:rsidP="00BD3014">
      <w:pPr>
        <w:rPr>
          <w:i/>
          <w:iCs/>
          <w:sz w:val="20"/>
          <w:szCs w:val="20"/>
        </w:rPr>
      </w:pPr>
      <w:r w:rsidRPr="00794DC7">
        <w:rPr>
          <w:i/>
          <w:iCs/>
          <w:sz w:val="20"/>
          <w:szCs w:val="20"/>
        </w:rPr>
        <w:t xml:space="preserve">Some of the characters fit the archetype patterns, but some do not. Do you think that, overall, 'The </w:t>
      </w:r>
      <w:proofErr w:type="spellStart"/>
      <w:r w:rsidRPr="00794DC7">
        <w:rPr>
          <w:i/>
          <w:iCs/>
          <w:sz w:val="20"/>
          <w:szCs w:val="20"/>
        </w:rPr>
        <w:t>Incredibles</w:t>
      </w:r>
      <w:proofErr w:type="spellEnd"/>
      <w:r w:rsidRPr="00794DC7">
        <w:rPr>
          <w:i/>
          <w:iCs/>
          <w:sz w:val="20"/>
          <w:szCs w:val="20"/>
        </w:rPr>
        <w:t xml:space="preserve">' is an archetypal hero story, with standard characters? Or, do you think it changes enough to be something new? </w:t>
      </w:r>
      <w:r w:rsidRPr="00794DC7">
        <w:rPr>
          <w:b/>
          <w:bCs/>
          <w:i/>
          <w:iCs/>
          <w:sz w:val="20"/>
          <w:szCs w:val="20"/>
        </w:rPr>
        <w:t xml:space="preserve">In an informal paragraph of about half a page, discuss if you think that the </w:t>
      </w:r>
      <w:proofErr w:type="spellStart"/>
      <w:r w:rsidRPr="00794DC7">
        <w:rPr>
          <w:b/>
          <w:bCs/>
          <w:i/>
          <w:iCs/>
          <w:sz w:val="20"/>
          <w:szCs w:val="20"/>
        </w:rPr>
        <w:t>Incredibles</w:t>
      </w:r>
      <w:proofErr w:type="spellEnd"/>
      <w:r w:rsidRPr="00794DC7">
        <w:rPr>
          <w:b/>
          <w:bCs/>
          <w:i/>
          <w:iCs/>
          <w:sz w:val="20"/>
          <w:szCs w:val="20"/>
        </w:rPr>
        <w:t xml:space="preserve"> is an archetypal story, or if it isn't.</w:t>
      </w:r>
      <w:r w:rsidRPr="00794DC7">
        <w:rPr>
          <w:i/>
          <w:iCs/>
          <w:sz w:val="20"/>
          <w:szCs w:val="20"/>
        </w:rPr>
        <w:t xml:space="preserve"> Use specific details to back up your answer. Use the chart on this page as the basis of your answer. </w:t>
      </w:r>
    </w:p>
    <w:p w:rsidR="00B54A65" w:rsidRDefault="00BD3014"/>
    <w:sectPr w:rsidR="00B54A65" w:rsidSect="00BA579E">
      <w:pgSz w:w="12240" w:h="15840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3014"/>
    <w:rsid w:val="00BD301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14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paragraph" w:customStyle="1" w:styleId="TableContents">
    <w:name w:val="Table Contents"/>
    <w:basedOn w:val="Normal"/>
    <w:rsid w:val="00BD3014"/>
    <w:pPr>
      <w:widowControl w:val="0"/>
      <w:suppressLineNumbers/>
      <w:suppressAutoHyphens/>
    </w:pPr>
    <w:rPr>
      <w:rFonts w:eastAsia="Lucida Sans Unicode"/>
      <w:kern w:val="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Bignell</dc:creator>
  <cp:keywords/>
  <cp:lastModifiedBy>Chris Bignell</cp:lastModifiedBy>
  <cp:revision>1</cp:revision>
  <dcterms:created xsi:type="dcterms:W3CDTF">2013-08-23T17:52:00Z</dcterms:created>
  <dcterms:modified xsi:type="dcterms:W3CDTF">2013-08-23T17:52:00Z</dcterms:modified>
</cp:coreProperties>
</file>