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2" w:rsidRPr="0067058C" w:rsidRDefault="001D6E72" w:rsidP="001D6E72">
      <w:pP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543A45">
        <w:rPr>
          <w:rFonts w:ascii="DFKai-SB" w:eastAsia="DFKai-SB" w:hAnsi="DFKai-SB"/>
          <w:noProof/>
          <w:sz w:val="30"/>
          <w:szCs w:val="30"/>
          <w:lang w:eastAsia="en-CA"/>
        </w:rPr>
        <w:drawing>
          <wp:anchor distT="0" distB="0" distL="114300" distR="114300" simplePos="0" relativeHeight="251659264" behindDoc="1" locked="0" layoutInCell="1" allowOverlap="1" wp14:anchorId="4519759B" wp14:editId="7CC1973E">
            <wp:simplePos x="0" y="0"/>
            <wp:positionH relativeFrom="column">
              <wp:posOffset>26670</wp:posOffset>
            </wp:positionH>
            <wp:positionV relativeFrom="paragraph">
              <wp:posOffset>179070</wp:posOffset>
            </wp:positionV>
            <wp:extent cx="86233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0996" y="21136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12154" r="82501"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DFKai-SB" w:hAnsiTheme="minorHAnsi"/>
          <w:b/>
          <w:sz w:val="20"/>
          <w:szCs w:val="20"/>
          <w:lang w:val="en-US"/>
        </w:rPr>
        <w:t>ENG</w:t>
      </w:r>
      <w:r>
        <w:rPr>
          <w:rFonts w:asciiTheme="minorHAnsi" w:eastAsia="DFKai-SB" w:hAnsiTheme="minorHAnsi"/>
          <w:b/>
          <w:sz w:val="20"/>
          <w:szCs w:val="20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lang w:val="en-US"/>
        </w:rPr>
        <w:tab/>
        <w:t xml:space="preserve">Name: </w:t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lang w:val="en-US"/>
        </w:rPr>
        <w:tab/>
        <w:t>Date:</w:t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  <w:r>
        <w:rPr>
          <w:rFonts w:asciiTheme="minorHAnsi" w:eastAsia="DFKai-SB" w:hAnsiTheme="minorHAnsi"/>
          <w:b/>
          <w:sz w:val="20"/>
          <w:szCs w:val="20"/>
          <w:u w:val="single"/>
          <w:lang w:val="en-US"/>
        </w:rPr>
        <w:tab/>
      </w:r>
    </w:p>
    <w:p w:rsidR="001D6E72" w:rsidRPr="0067058C" w:rsidRDefault="001D6E72" w:rsidP="001D6E72">
      <w:pPr>
        <w:rPr>
          <w:rFonts w:ascii="DFKai-SB" w:eastAsia="DFKai-SB" w:hAnsi="DFKai-SB"/>
          <w:b/>
          <w:sz w:val="10"/>
          <w:szCs w:val="10"/>
          <w:lang w:val="en-US"/>
        </w:rPr>
      </w:pPr>
    </w:p>
    <w:p w:rsidR="001D6E72" w:rsidRPr="00543A45" w:rsidRDefault="001D6E72" w:rsidP="001D6E72">
      <w:pPr>
        <w:rPr>
          <w:rFonts w:ascii="DFKai-SB" w:eastAsia="DFKai-SB" w:hAnsi="DFKai-SB"/>
          <w:b/>
          <w:sz w:val="30"/>
          <w:szCs w:val="30"/>
          <w:lang w:val="en-US"/>
        </w:rPr>
      </w:pPr>
      <w:r w:rsidRPr="00543A45">
        <w:rPr>
          <w:rFonts w:ascii="DFKai-SB" w:eastAsia="DFKai-SB" w:hAnsi="DFKai-SB"/>
          <w:b/>
          <w:sz w:val="30"/>
          <w:szCs w:val="30"/>
          <w:lang w:val="en-US"/>
        </w:rPr>
        <w:t>PRESTON ENGLISH DEPARTMENT - Conditions of Success</w:t>
      </w:r>
    </w:p>
    <w:p w:rsidR="001D6E72" w:rsidRDefault="001D6E72" w:rsidP="001D6E72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The following parameters are in place to help Preston English students succeed within the parameters of the WRDSB’s </w:t>
      </w:r>
      <w:r w:rsidRPr="00C32B29">
        <w:rPr>
          <w:rFonts w:asciiTheme="minorHAnsi" w:hAnsiTheme="minorHAnsi"/>
          <w:i/>
          <w:sz w:val="20"/>
          <w:szCs w:val="20"/>
          <w:lang w:val="en-US"/>
        </w:rPr>
        <w:t>Assessment, Evaluation and reporting Handbook</w:t>
      </w:r>
      <w:r>
        <w:rPr>
          <w:rFonts w:asciiTheme="minorHAnsi" w:hAnsiTheme="minorHAnsi"/>
          <w:sz w:val="20"/>
          <w:szCs w:val="20"/>
          <w:lang w:val="en-US"/>
        </w:rPr>
        <w:t xml:space="preserve">, 2013, inspired by </w:t>
      </w:r>
      <w:r>
        <w:rPr>
          <w:rFonts w:asciiTheme="minorHAnsi" w:hAnsiTheme="minorHAnsi"/>
          <w:i/>
          <w:sz w:val="20"/>
          <w:szCs w:val="20"/>
          <w:lang w:val="en-US"/>
        </w:rPr>
        <w:t>Growing Success.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1D6E72" w:rsidRPr="0067058C" w:rsidRDefault="001D6E72" w:rsidP="001D6E72">
      <w:pPr>
        <w:rPr>
          <w:rFonts w:asciiTheme="minorHAnsi" w:hAnsiTheme="minorHAnsi"/>
          <w:sz w:val="6"/>
          <w:szCs w:val="6"/>
          <w:lang w:val="en-U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389"/>
        <w:gridCol w:w="9699"/>
      </w:tblGrid>
      <w:tr w:rsidR="001D6E72" w:rsidRPr="0057159C" w:rsidTr="00F80D69"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Consultation and Formative Work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Students who support themselves with solid formative work and adherence to deadlines </w:t>
            </w:r>
            <w:r w:rsidRPr="0057159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will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be substantially more successful in this course, as they will automatically open up opportunities for feedback and revision; students who choose to fall into the trap of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misleading benefits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of “no lates” or “no zeroes” will face consequences that are far more substantial and that will have a far greater impact on grades and learning than if no lates or zeroes existed. </w:t>
            </w:r>
          </w:p>
          <w:p w:rsidR="001D6E72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In-class evidence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student work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is mandatory;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he onus is on the student to demonstrate that he/she has done all work required.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Individual consultation is imperative to student success.  While the teacher may seek consultation with students during class, u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ltimately, it is the student’s job to create the occasions for consultations. </w:t>
            </w:r>
          </w:p>
          <w:p w:rsidR="001D6E72" w:rsidRPr="00D76CCA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Students must be ready to consult when given the opportunity to do so.</w:t>
            </w:r>
          </w:p>
        </w:tc>
      </w:tr>
      <w:tr w:rsidR="001D6E72" w:rsidRPr="0057159C" w:rsidTr="00F80D69"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Completion of all Essential Skills</w:t>
            </w: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Plagiarism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ll essential skills according to the English Curriculum must be demonstrated. Consistent lack of demonstration of essential skills within timelines may adversely influence the student’s overall successful completion of the credit.</w:t>
            </w:r>
          </w:p>
          <w:p w:rsidR="001D6E72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consequence of not doing the work is doing the work. </w:t>
            </w:r>
          </w:p>
          <w:p w:rsidR="001D6E72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Plagiarism indicates a missed essential skill, as the student has not done his/her work. Plagiarism also occurs when research and help from online/books have not been properly documented. Plagiarized assignments must be rewritten. Plagiarism will be reported to the VP, who will take appropriate action. </w:t>
            </w:r>
          </w:p>
          <w:p w:rsidR="001D6E72" w:rsidRPr="00D76CCA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If plagiarism is suspected, it is the student’s job to produce in-class work and rough work that proves he/she has done his/her own work and has not plagiarized. Rough work must always accompany final assignments.</w:t>
            </w:r>
          </w:p>
        </w:tc>
      </w:tr>
      <w:tr w:rsidR="001D6E72" w:rsidRPr="0057159C" w:rsidTr="00F80D69"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On-Time Submission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Students who submit work on time will receive feedback on their work. 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Those who submit late will receive feedback in the form of rubric comments.</w:t>
            </w:r>
          </w:p>
        </w:tc>
      </w:tr>
      <w:tr w:rsidR="001D6E72" w:rsidRPr="0057159C" w:rsidTr="00F80D69"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Extensions and Due Dates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a student wants assistance, see teacher </w:t>
            </w:r>
            <w:r w:rsidRPr="0057159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before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due date. 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If a student needs an extension, he/she must demonstrate progress and approach the teacher at lea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st 48 hours (ie. two classes) before the due date about this extension.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Work is to be completed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by set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due dates.</w:t>
            </w:r>
          </w:p>
        </w:tc>
      </w:tr>
      <w:tr w:rsidR="001D6E72" w:rsidRPr="0057159C" w:rsidTr="00F80D69"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Missed Work</w:t>
            </w: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Cut-Off Conditions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If a student is not prepared to submit work by the due date, he/she will work in 138 for that period. What is completed that period will be submitted as the demonstration of learning.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If students do not submit after this time in 138, he/she will submit formative work, which will take the place of the summative. As it will demonstrate a portion of the expectations, it will thus receive a lower grade.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While teachers may have their own policies with regard to accepting late work according to their own professional judgment and in conside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ration of unique circumstances, w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ork submitted outside of the above parameters will go through the following considerations:</w:t>
            </w:r>
          </w:p>
          <w:p w:rsidR="001D6E72" w:rsidRPr="0057159C" w:rsidRDefault="001D6E72" w:rsidP="001D6E72">
            <w:pPr>
              <w:pStyle w:val="ListParagraph"/>
              <w:numPr>
                <w:ilvl w:val="1"/>
                <w:numId w:val="3"/>
              </w:numPr>
              <w:ind w:left="882" w:hanging="27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The teacher will read the submission and determine whether or not the demonstration would warrant a passing grade. If so, the student will earn a grade of 50%, which indicates that a skill has been demonstrated. The teacher may choose to enter a grade of No Mark, depending on the situation.</w:t>
            </w:r>
          </w:p>
          <w:p w:rsidR="001D6E72" w:rsidRPr="0057159C" w:rsidRDefault="001D6E72" w:rsidP="001D6E72">
            <w:pPr>
              <w:pStyle w:val="ListParagraph"/>
              <w:numPr>
                <w:ilvl w:val="1"/>
                <w:numId w:val="3"/>
              </w:numPr>
              <w:ind w:left="882" w:hanging="27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If, after reading the submitted work, the teacher determines that the demonstration would </w:t>
            </w:r>
            <w:r w:rsidRPr="0057159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not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earn a passing grade, a grade of 1%-49% will be applied to the assignment.</w:t>
            </w:r>
          </w:p>
        </w:tc>
      </w:tr>
      <w:tr w:rsidR="001D6E72" w:rsidRPr="0057159C" w:rsidTr="00F80D69"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Oral Presentations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students are legitimately absent during a scheduled presentation date,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they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will present the day of return. 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Group presentations will continue as scheduled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even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if one group member is absent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This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means student absence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will let down other group members.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NOTE: make work available to all group members at all times.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If a student misses a group presentation, he/she must demonstrate work done, and must satisfy his/her portion of the oral presentation at an arranged time in front of an audience.</w:t>
            </w:r>
          </w:p>
          <w:p w:rsidR="001D6E72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Presentations fall under the Oral Communication strand of the English curriculum and they must be done in front of an audienc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. Not presenting is not an option.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Presentations happen within the scheduled time constraints of classes; the teacher alone is not an audience.</w:t>
            </w:r>
          </w:p>
        </w:tc>
      </w:tr>
      <w:tr w:rsidR="001D6E72" w:rsidRPr="0057159C" w:rsidTr="00F80D69">
        <w:trPr>
          <w:trHeight w:val="521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Tests</w:t>
            </w: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Missed Tests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During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tests, formative work (homework, class notes) may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(or may not, at the teacher’s discretion)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be used.</w:t>
            </w:r>
          </w:p>
          <w:p w:rsidR="001D6E72" w:rsidRPr="0067058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a student misses a test, he/she must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arrange with the teacher to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write the test on his/her first day back. </w:t>
            </w:r>
          </w:p>
        </w:tc>
      </w:tr>
      <w:tr w:rsidR="001D6E72" w:rsidRPr="0057159C" w:rsidTr="00F80D69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72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 xml:space="preserve">Test Rewrites  and </w:t>
            </w:r>
          </w:p>
          <w:p w:rsidR="001D6E72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</w:p>
          <w:p w:rsidR="001D6E72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</w:p>
          <w:p w:rsidR="001D6E72" w:rsidRPr="00C32B29" w:rsidRDefault="001D6E72" w:rsidP="00F80D69">
            <w:pPr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</w:pPr>
            <w:r w:rsidRPr="00C32B29">
              <w:rPr>
                <w:rFonts w:ascii="DFKai-SB" w:eastAsia="DFKai-SB" w:hAnsi="DFKai-SB"/>
                <w:b/>
                <w:sz w:val="18"/>
                <w:szCs w:val="18"/>
                <w:lang w:val="en-US"/>
              </w:rPr>
              <w:t>Resubmission of Work</w:t>
            </w:r>
          </w:p>
        </w:tc>
        <w:tc>
          <w:tcPr>
            <w:tcW w:w="9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E72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Please note that test rewrites are completely at the discretion of the teacher; he/she may consider, for example, cheat notes, formative work, etc., in determining whether or not the student will earn the opportunity for a rewrite. That said, it is in the student’s best interest to support him/herself with class work and formative work from the onset. </w:t>
            </w:r>
          </w:p>
          <w:p w:rsidR="001D6E72" w:rsidRPr="0057159C" w:rsidRDefault="001D6E72" w:rsidP="00F80D69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the case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assignment 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resubmission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upgrade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a redo will only be accepted from students who </w:t>
            </w:r>
          </w:p>
          <w:p w:rsidR="001D6E72" w:rsidRPr="0057159C" w:rsidRDefault="001D6E72" w:rsidP="001D6E72">
            <w:pPr>
              <w:pStyle w:val="ListParagraph"/>
              <w:numPr>
                <w:ilvl w:val="1"/>
                <w:numId w:val="2"/>
              </w:numPr>
              <w:ind w:left="882" w:hanging="27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sought assistance on the original attempt</w:t>
            </w:r>
          </w:p>
          <w:p w:rsidR="001D6E72" w:rsidRPr="0057159C" w:rsidRDefault="001D6E72" w:rsidP="001D6E72">
            <w:pPr>
              <w:pStyle w:val="ListParagraph"/>
              <w:numPr>
                <w:ilvl w:val="1"/>
                <w:numId w:val="2"/>
              </w:numPr>
              <w:ind w:left="882" w:hanging="27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submitted the original attempt on time</w:t>
            </w:r>
          </w:p>
          <w:p w:rsidR="001D6E72" w:rsidRPr="0057159C" w:rsidRDefault="001D6E72" w:rsidP="001D6E72">
            <w:pPr>
              <w:pStyle w:val="ListParagraph"/>
              <w:numPr>
                <w:ilvl w:val="1"/>
                <w:numId w:val="2"/>
              </w:numPr>
              <w:ind w:left="882" w:hanging="27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consulted with the teacher about revisions and new approaches to the assignment based on feedback</w:t>
            </w:r>
          </w:p>
          <w:p w:rsidR="001D6E72" w:rsidRPr="0057159C" w:rsidRDefault="001D6E72" w:rsidP="001D6E72">
            <w:pPr>
              <w:pStyle w:val="ListParagraph"/>
              <w:numPr>
                <w:ilvl w:val="1"/>
                <w:numId w:val="2"/>
              </w:numPr>
              <w:ind w:left="882" w:hanging="27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7159C">
              <w:rPr>
                <w:rFonts w:asciiTheme="minorHAnsi" w:hAnsiTheme="minorHAnsi"/>
                <w:sz w:val="20"/>
                <w:szCs w:val="20"/>
                <w:lang w:val="en-US"/>
              </w:rPr>
              <w:t>submitted the redo precisely when required</w:t>
            </w:r>
          </w:p>
        </w:tc>
      </w:tr>
    </w:tbl>
    <w:p w:rsidR="00C43D20" w:rsidRPr="001D6E72" w:rsidRDefault="00C43D20" w:rsidP="001D6E72">
      <w:pPr>
        <w:rPr>
          <w:sz w:val="2"/>
          <w:szCs w:val="2"/>
          <w:lang w:val="en-US"/>
        </w:rPr>
      </w:pPr>
    </w:p>
    <w:sectPr w:rsidR="00C43D20" w:rsidRPr="001D6E72" w:rsidSect="0067058C">
      <w:pgSz w:w="12240" w:h="15840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3DF"/>
    <w:multiLevelType w:val="hybridMultilevel"/>
    <w:tmpl w:val="37E24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3DD5"/>
    <w:multiLevelType w:val="hybridMultilevel"/>
    <w:tmpl w:val="92344A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46B"/>
    <w:multiLevelType w:val="hybridMultilevel"/>
    <w:tmpl w:val="5E4A9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0"/>
    <w:rsid w:val="00045C7E"/>
    <w:rsid w:val="000710A3"/>
    <w:rsid w:val="001D6E72"/>
    <w:rsid w:val="0093437F"/>
    <w:rsid w:val="00A355EF"/>
    <w:rsid w:val="00C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20"/>
    <w:pPr>
      <w:ind w:left="720"/>
      <w:contextualSpacing/>
    </w:pPr>
  </w:style>
  <w:style w:type="table" w:styleId="TableGrid">
    <w:name w:val="Table Grid"/>
    <w:basedOn w:val="TableNormal"/>
    <w:uiPriority w:val="59"/>
    <w:rsid w:val="00C43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20"/>
    <w:pPr>
      <w:ind w:left="720"/>
      <w:contextualSpacing/>
    </w:pPr>
  </w:style>
  <w:style w:type="table" w:styleId="TableGrid">
    <w:name w:val="Table Grid"/>
    <w:basedOn w:val="TableNormal"/>
    <w:uiPriority w:val="59"/>
    <w:rsid w:val="00C43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Karen Blaak</cp:lastModifiedBy>
  <cp:revision>2</cp:revision>
  <dcterms:created xsi:type="dcterms:W3CDTF">2015-01-30T18:23:00Z</dcterms:created>
  <dcterms:modified xsi:type="dcterms:W3CDTF">2015-01-30T18:23:00Z</dcterms:modified>
</cp:coreProperties>
</file>